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7BE" w:rsidRPr="00D961C4" w:rsidRDefault="00C127BE" w:rsidP="00C127BE">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D961C4">
        <w:rPr>
          <w:rFonts w:ascii="Arial" w:hAnsi="Arial" w:cs="Arial"/>
          <w:b/>
          <w:bCs/>
          <w:noProof/>
          <w:sz w:val="24"/>
          <w:szCs w:val="24"/>
        </w:rPr>
        <w:t>3GPP TSG RAN WG1 Meeting #</w:t>
      </w:r>
      <w:r w:rsidRPr="00D961C4">
        <w:rPr>
          <w:rFonts w:ascii="Arial" w:eastAsia="MS Mincho" w:hAnsi="Arial" w:cs="Arial"/>
          <w:b/>
          <w:bCs/>
          <w:noProof/>
          <w:sz w:val="24"/>
          <w:szCs w:val="24"/>
          <w:lang w:eastAsia="ja-JP"/>
        </w:rPr>
        <w:t>86</w:t>
      </w:r>
      <w:r w:rsidRPr="00D961C4">
        <w:rPr>
          <w:rFonts w:ascii="Arial" w:eastAsia="MS Mincho" w:hAnsi="Arial" w:cs="Arial"/>
          <w:b/>
          <w:bCs/>
          <w:noProof/>
          <w:sz w:val="24"/>
          <w:szCs w:val="24"/>
          <w:lang w:eastAsia="ja-JP"/>
        </w:rPr>
        <w:tab/>
        <w:t xml:space="preserve"> </w:t>
      </w:r>
      <w:r w:rsidRPr="00D961C4">
        <w:rPr>
          <w:rFonts w:ascii="Arial" w:eastAsia="MS Mincho" w:hAnsi="Arial" w:cs="Arial"/>
          <w:b/>
          <w:bCs/>
          <w:noProof/>
          <w:sz w:val="24"/>
          <w:szCs w:val="24"/>
          <w:lang w:eastAsia="ja-JP"/>
        </w:rPr>
        <w:tab/>
      </w:r>
      <w:bookmarkStart w:id="2" w:name="_GoBack"/>
      <w:r w:rsidRPr="00D961C4">
        <w:rPr>
          <w:rFonts w:ascii="Arial" w:hAnsi="Arial" w:cs="Arial"/>
          <w:b/>
          <w:bCs/>
          <w:noProof/>
          <w:sz w:val="24"/>
          <w:szCs w:val="24"/>
        </w:rPr>
        <w:t>R1-</w:t>
      </w:r>
      <w:r w:rsidR="00D961C4" w:rsidRPr="00D961C4">
        <w:rPr>
          <w:rFonts w:ascii="Arial" w:hAnsi="Arial" w:cs="Arial"/>
          <w:b/>
          <w:bCs/>
          <w:noProof/>
          <w:sz w:val="24"/>
          <w:szCs w:val="24"/>
        </w:rPr>
        <w:t>1609699</w:t>
      </w:r>
      <w:bookmarkEnd w:id="2"/>
    </w:p>
    <w:p w:rsidR="00005DBD" w:rsidRPr="00D961C4" w:rsidRDefault="00B83188" w:rsidP="00C127BE">
      <w:pPr>
        <w:pStyle w:val="FootnoteText"/>
        <w:rPr>
          <w:rFonts w:ascii="Arial" w:hAnsi="Arial" w:cs="Arial"/>
          <w:b/>
          <w:bCs/>
          <w:noProof/>
          <w:sz w:val="24"/>
          <w:szCs w:val="24"/>
        </w:rPr>
      </w:pPr>
      <w:r w:rsidRPr="00D961C4">
        <w:rPr>
          <w:rFonts w:ascii="Arial" w:hAnsi="Arial" w:cs="Arial"/>
          <w:b/>
          <w:bCs/>
          <w:noProof/>
          <w:sz w:val="24"/>
          <w:szCs w:val="24"/>
        </w:rPr>
        <w:t>Lisboa, Portugal</w:t>
      </w:r>
      <w:r w:rsidR="00C127BE" w:rsidRPr="00D961C4">
        <w:rPr>
          <w:rFonts w:ascii="Arial" w:hAnsi="Arial" w:cs="Arial"/>
          <w:b/>
          <w:bCs/>
          <w:noProof/>
          <w:sz w:val="24"/>
          <w:szCs w:val="24"/>
        </w:rPr>
        <w:t xml:space="preserve">, </w:t>
      </w:r>
      <w:r w:rsidRPr="00D961C4">
        <w:rPr>
          <w:rFonts w:ascii="Arial" w:hAnsi="Arial" w:cs="Arial"/>
          <w:b/>
          <w:bCs/>
          <w:noProof/>
          <w:sz w:val="24"/>
          <w:szCs w:val="24"/>
        </w:rPr>
        <w:t>10</w:t>
      </w:r>
      <w:r w:rsidRPr="00D961C4">
        <w:rPr>
          <w:rFonts w:ascii="Arial" w:hAnsi="Arial" w:cs="Arial"/>
          <w:b/>
          <w:bCs/>
          <w:noProof/>
          <w:sz w:val="24"/>
          <w:szCs w:val="24"/>
          <w:vertAlign w:val="superscript"/>
        </w:rPr>
        <w:t>th</w:t>
      </w:r>
      <w:r w:rsidRPr="00D961C4">
        <w:rPr>
          <w:rFonts w:ascii="Arial" w:hAnsi="Arial" w:cs="Arial"/>
          <w:b/>
          <w:bCs/>
          <w:noProof/>
          <w:sz w:val="24"/>
          <w:szCs w:val="24"/>
        </w:rPr>
        <w:t xml:space="preserve"> </w:t>
      </w:r>
      <w:r w:rsidR="00C127BE" w:rsidRPr="00D961C4">
        <w:rPr>
          <w:rFonts w:ascii="Arial" w:hAnsi="Arial" w:cs="Arial"/>
          <w:b/>
          <w:bCs/>
          <w:noProof/>
          <w:sz w:val="24"/>
          <w:szCs w:val="24"/>
        </w:rPr>
        <w:t>-</w:t>
      </w:r>
      <w:r w:rsidRPr="00D961C4">
        <w:rPr>
          <w:rFonts w:ascii="Arial" w:hAnsi="Arial" w:cs="Arial"/>
          <w:b/>
          <w:bCs/>
          <w:noProof/>
          <w:sz w:val="24"/>
          <w:szCs w:val="24"/>
        </w:rPr>
        <w:t xml:space="preserve"> 14</w:t>
      </w:r>
      <w:r w:rsidRPr="00D961C4">
        <w:rPr>
          <w:rFonts w:ascii="Arial" w:hAnsi="Arial" w:cs="Arial"/>
          <w:b/>
          <w:bCs/>
          <w:noProof/>
          <w:sz w:val="24"/>
          <w:szCs w:val="24"/>
          <w:vertAlign w:val="superscript"/>
        </w:rPr>
        <w:t>th</w:t>
      </w:r>
      <w:r w:rsidRPr="00D961C4">
        <w:rPr>
          <w:rFonts w:ascii="Arial" w:hAnsi="Arial" w:cs="Arial"/>
          <w:b/>
          <w:bCs/>
          <w:noProof/>
          <w:sz w:val="24"/>
          <w:szCs w:val="24"/>
        </w:rPr>
        <w:t xml:space="preserve"> October </w:t>
      </w:r>
      <w:r w:rsidR="00C127BE" w:rsidRPr="00D961C4">
        <w:rPr>
          <w:rFonts w:ascii="Arial" w:hAnsi="Arial" w:cs="Arial"/>
          <w:b/>
          <w:bCs/>
          <w:noProof/>
          <w:sz w:val="24"/>
          <w:szCs w:val="24"/>
        </w:rPr>
        <w:t>2016</w:t>
      </w:r>
    </w:p>
    <w:p w:rsidR="00C127BE" w:rsidRPr="00D961C4" w:rsidRDefault="00C127BE" w:rsidP="00C127BE">
      <w:pPr>
        <w:pStyle w:val="FootnoteText"/>
        <w:rPr>
          <w:lang w:val="en-US"/>
        </w:rPr>
      </w:pPr>
    </w:p>
    <w:p w:rsidR="00005DBD" w:rsidRPr="00D961C4" w:rsidRDefault="00005DBD" w:rsidP="00005DBD">
      <w:pPr>
        <w:pStyle w:val="TdocHeader2"/>
        <w:jc w:val="left"/>
        <w:rPr>
          <w:sz w:val="20"/>
          <w:lang w:val="en-US"/>
        </w:rPr>
      </w:pPr>
      <w:r w:rsidRPr="00D961C4">
        <w:rPr>
          <w:sz w:val="20"/>
          <w:lang w:val="en-US"/>
        </w:rPr>
        <w:t xml:space="preserve">Source: </w:t>
      </w:r>
      <w:r w:rsidRPr="00D961C4">
        <w:rPr>
          <w:sz w:val="20"/>
          <w:lang w:val="en-US"/>
        </w:rPr>
        <w:tab/>
        <w:t>Ericsson</w:t>
      </w:r>
    </w:p>
    <w:p w:rsidR="00005DBD" w:rsidRPr="00D961C4" w:rsidRDefault="00005DBD" w:rsidP="00005DBD">
      <w:pPr>
        <w:pStyle w:val="TdocHeader2"/>
        <w:jc w:val="left"/>
        <w:rPr>
          <w:sz w:val="20"/>
          <w:lang w:val="en-US"/>
        </w:rPr>
      </w:pPr>
      <w:r w:rsidRPr="00D961C4">
        <w:rPr>
          <w:sz w:val="20"/>
          <w:lang w:val="en-US"/>
        </w:rPr>
        <w:t>Title:</w:t>
      </w:r>
      <w:bookmarkStart w:id="3" w:name="Title"/>
      <w:bookmarkEnd w:id="3"/>
      <w:r w:rsidRPr="00D961C4">
        <w:rPr>
          <w:sz w:val="20"/>
          <w:lang w:val="en-US"/>
        </w:rPr>
        <w:tab/>
      </w:r>
      <w:r w:rsidR="00BD75B7" w:rsidRPr="00D961C4">
        <w:rPr>
          <w:sz w:val="20"/>
          <w:lang w:val="en-US"/>
        </w:rPr>
        <w:t xml:space="preserve">Outstanding </w:t>
      </w:r>
      <w:r w:rsidR="007E7100" w:rsidRPr="00D961C4">
        <w:rPr>
          <w:sz w:val="20"/>
          <w:lang w:val="en-US"/>
        </w:rPr>
        <w:t>Physical Layer Structure</w:t>
      </w:r>
      <w:r w:rsidR="00BD75B7" w:rsidRPr="00D961C4">
        <w:rPr>
          <w:sz w:val="20"/>
          <w:lang w:val="en-US"/>
        </w:rPr>
        <w:t xml:space="preserve"> Details</w:t>
      </w:r>
      <w:r w:rsidR="007E7100" w:rsidRPr="00D961C4">
        <w:rPr>
          <w:sz w:val="20"/>
          <w:lang w:val="en-US"/>
        </w:rPr>
        <w:t xml:space="preserve"> and</w:t>
      </w:r>
      <w:r w:rsidR="002C6324" w:rsidRPr="00D961C4">
        <w:rPr>
          <w:sz w:val="20"/>
          <w:lang w:val="en-US"/>
        </w:rPr>
        <w:t xml:space="preserve"> Receiver Behavior for Sidelink V2V</w:t>
      </w:r>
    </w:p>
    <w:p w:rsidR="00005DBD" w:rsidRPr="00744368" w:rsidRDefault="00005DBD" w:rsidP="00005DBD">
      <w:pPr>
        <w:pStyle w:val="TdocHeader2"/>
        <w:jc w:val="left"/>
        <w:rPr>
          <w:sz w:val="20"/>
          <w:lang w:val="en-US"/>
        </w:rPr>
      </w:pPr>
      <w:r w:rsidRPr="00D961C4">
        <w:rPr>
          <w:sz w:val="20"/>
          <w:lang w:val="en-US"/>
        </w:rPr>
        <w:t>Agenda Item:</w:t>
      </w:r>
      <w:r w:rsidRPr="00D961C4">
        <w:rPr>
          <w:sz w:val="20"/>
          <w:lang w:val="en-US"/>
        </w:rPr>
        <w:tab/>
      </w:r>
      <w:r w:rsidR="00214A91" w:rsidRPr="00D961C4">
        <w:rPr>
          <w:sz w:val="20"/>
          <w:lang w:val="en-US"/>
        </w:rPr>
        <w:t>7.2.</w:t>
      </w:r>
      <w:r w:rsidR="00D961C4" w:rsidRPr="00D961C4">
        <w:rPr>
          <w:sz w:val="20"/>
          <w:lang w:val="en-US"/>
        </w:rPr>
        <w:t>1.5.1</w:t>
      </w:r>
    </w:p>
    <w:p w:rsidR="002C6324"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p w:rsidR="002C6324" w:rsidRPr="007F1723" w:rsidRDefault="002C6324" w:rsidP="002C6324">
      <w:pPr>
        <w:pStyle w:val="Heading1"/>
        <w:rPr>
          <w:lang w:val="en-US"/>
        </w:rPr>
      </w:pPr>
      <w:r>
        <w:rPr>
          <w:lang w:val="en-US"/>
        </w:rPr>
        <w:t>Introduction</w:t>
      </w:r>
    </w:p>
    <w:bookmarkEnd w:id="0"/>
    <w:bookmarkEnd w:id="1"/>
    <w:p w:rsidR="002C6324" w:rsidRPr="001220B3" w:rsidRDefault="002C6324" w:rsidP="002C6324">
      <w:pPr>
        <w:pStyle w:val="BodyText"/>
        <w:spacing w:after="240"/>
        <w:jc w:val="both"/>
        <w:rPr>
          <w:sz w:val="20"/>
          <w:szCs w:val="20"/>
        </w:rPr>
      </w:pPr>
      <w:r>
        <w:rPr>
          <w:sz w:val="20"/>
          <w:szCs w:val="20"/>
        </w:rPr>
        <w:t>Congestion control prevents the radio channel from being congested by too many transmissions within a certain geographical area</w:t>
      </w:r>
      <w:r w:rsidRPr="001220B3">
        <w:rPr>
          <w:sz w:val="20"/>
          <w:szCs w:val="20"/>
        </w:rPr>
        <w:t>.</w:t>
      </w:r>
      <w:r>
        <w:rPr>
          <w:sz w:val="20"/>
          <w:szCs w:val="20"/>
        </w:rPr>
        <w:t xml:space="preserve"> This is achieved by placing limits on several transmitter parameters based on channel occupancy level at the moment.</w:t>
      </w:r>
      <w:r w:rsidRPr="001220B3">
        <w:rPr>
          <w:sz w:val="20"/>
          <w:szCs w:val="20"/>
        </w:rPr>
        <w:t xml:space="preserve"> For example, draft ETSI EN 302 571 V2.0.0 (2016-03) </w:t>
      </w:r>
      <w:r>
        <w:rPr>
          <w:sz w:val="20"/>
          <w:szCs w:val="20"/>
        </w:rPr>
        <w:fldChar w:fldCharType="begin"/>
      </w:r>
      <w:r>
        <w:rPr>
          <w:sz w:val="20"/>
          <w:szCs w:val="20"/>
        </w:rPr>
        <w:instrText xml:space="preserve"> REF _Ref458373156 \r \h </w:instrText>
      </w:r>
      <w:r>
        <w:rPr>
          <w:sz w:val="20"/>
          <w:szCs w:val="20"/>
        </w:rPr>
      </w:r>
      <w:r>
        <w:rPr>
          <w:sz w:val="20"/>
          <w:szCs w:val="20"/>
        </w:rPr>
        <w:fldChar w:fldCharType="separate"/>
      </w:r>
      <w:r w:rsidR="003024E7">
        <w:rPr>
          <w:sz w:val="20"/>
          <w:szCs w:val="20"/>
        </w:rPr>
        <w:t>[1]</w:t>
      </w:r>
      <w:r>
        <w:rPr>
          <w:sz w:val="20"/>
          <w:szCs w:val="20"/>
        </w:rPr>
        <w:fldChar w:fldCharType="end"/>
      </w:r>
      <w:r>
        <w:rPr>
          <w:sz w:val="20"/>
          <w:szCs w:val="20"/>
        </w:rPr>
        <w:t xml:space="preserve"> </w:t>
      </w:r>
      <w:r>
        <w:rPr>
          <w:sz w:val="20"/>
          <w:szCs w:val="20"/>
        </w:rPr>
        <w:fldChar w:fldCharType="begin"/>
      </w:r>
      <w:r>
        <w:rPr>
          <w:sz w:val="20"/>
          <w:szCs w:val="20"/>
        </w:rPr>
        <w:instrText xml:space="preserve"> REF _Ref458373460 \r \h </w:instrText>
      </w:r>
      <w:r>
        <w:rPr>
          <w:sz w:val="20"/>
          <w:szCs w:val="20"/>
        </w:rPr>
      </w:r>
      <w:r>
        <w:rPr>
          <w:sz w:val="20"/>
          <w:szCs w:val="20"/>
        </w:rPr>
        <w:fldChar w:fldCharType="separate"/>
      </w:r>
      <w:r w:rsidR="003024E7">
        <w:rPr>
          <w:sz w:val="20"/>
          <w:szCs w:val="20"/>
        </w:rPr>
        <w:t>[2]</w:t>
      </w:r>
      <w:r>
        <w:rPr>
          <w:sz w:val="20"/>
          <w:szCs w:val="20"/>
        </w:rPr>
        <w:fldChar w:fldCharType="end"/>
      </w:r>
      <w:r>
        <w:rPr>
          <w:sz w:val="20"/>
          <w:szCs w:val="20"/>
        </w:rPr>
        <w:t xml:space="preserve"> </w:t>
      </w:r>
      <w:r w:rsidRPr="001220B3">
        <w:rPr>
          <w:sz w:val="20"/>
          <w:szCs w:val="20"/>
        </w:rPr>
        <w:t>for</w:t>
      </w:r>
      <w:r>
        <w:rPr>
          <w:sz w:val="20"/>
          <w:szCs w:val="20"/>
        </w:rPr>
        <w:t xml:space="preserve"> the </w:t>
      </w:r>
      <w:r w:rsidRPr="001220B3">
        <w:rPr>
          <w:sz w:val="20"/>
          <w:szCs w:val="20"/>
        </w:rPr>
        <w:t xml:space="preserve">5.9GHz ITS band </w:t>
      </w:r>
      <w:r>
        <w:rPr>
          <w:sz w:val="20"/>
          <w:szCs w:val="20"/>
        </w:rPr>
        <w:t xml:space="preserve">in Europe specifies regulatory limits </w:t>
      </w:r>
      <w:r w:rsidRPr="001220B3">
        <w:rPr>
          <w:sz w:val="20"/>
          <w:szCs w:val="20"/>
        </w:rPr>
        <w:t>on maximum T</w:t>
      </w:r>
      <w:r w:rsidRPr="00710EA7">
        <w:rPr>
          <w:sz w:val="20"/>
          <w:szCs w:val="20"/>
          <w:vertAlign w:val="subscript"/>
        </w:rPr>
        <w:t>on</w:t>
      </w:r>
      <w:r w:rsidRPr="001220B3">
        <w:rPr>
          <w:sz w:val="20"/>
          <w:szCs w:val="20"/>
        </w:rPr>
        <w:t>, minimum T</w:t>
      </w:r>
      <w:r w:rsidRPr="00710EA7">
        <w:rPr>
          <w:sz w:val="20"/>
          <w:szCs w:val="20"/>
          <w:vertAlign w:val="subscript"/>
        </w:rPr>
        <w:t>off</w:t>
      </w:r>
      <w:r w:rsidRPr="001220B3">
        <w:rPr>
          <w:sz w:val="20"/>
          <w:szCs w:val="20"/>
        </w:rPr>
        <w:t xml:space="preserve"> and maximum </w:t>
      </w:r>
      <w:r>
        <w:rPr>
          <w:sz w:val="20"/>
          <w:szCs w:val="20"/>
        </w:rPr>
        <w:t>D</w:t>
      </w:r>
      <w:r w:rsidRPr="001220B3">
        <w:rPr>
          <w:sz w:val="20"/>
          <w:szCs w:val="20"/>
        </w:rPr>
        <w:t xml:space="preserve">uty </w:t>
      </w:r>
      <w:r>
        <w:rPr>
          <w:sz w:val="20"/>
          <w:szCs w:val="20"/>
        </w:rPr>
        <w:t>C</w:t>
      </w:r>
      <w:r w:rsidRPr="001220B3">
        <w:rPr>
          <w:sz w:val="20"/>
          <w:szCs w:val="20"/>
        </w:rPr>
        <w:t xml:space="preserve">ycle of UE transmitters </w:t>
      </w:r>
      <w:r>
        <w:rPr>
          <w:sz w:val="20"/>
          <w:szCs w:val="20"/>
        </w:rPr>
        <w:t>based on</w:t>
      </w:r>
      <w:r w:rsidRPr="001220B3">
        <w:rPr>
          <w:sz w:val="20"/>
          <w:szCs w:val="20"/>
        </w:rPr>
        <w:t xml:space="preserve"> </w:t>
      </w:r>
      <w:r>
        <w:rPr>
          <w:sz w:val="20"/>
          <w:szCs w:val="20"/>
        </w:rPr>
        <w:t>the channel occupancy level measured as Channel Busy Ratio (CBR)</w:t>
      </w:r>
      <w:r w:rsidRPr="001220B3">
        <w:rPr>
          <w:sz w:val="20"/>
          <w:szCs w:val="20"/>
        </w:rPr>
        <w:t xml:space="preserve">, where </w:t>
      </w:r>
    </w:p>
    <w:p w:rsidR="002C6324" w:rsidRPr="001220B3" w:rsidRDefault="002C6324" w:rsidP="008A063E">
      <w:pPr>
        <w:pStyle w:val="BodyText"/>
        <w:numPr>
          <w:ilvl w:val="0"/>
          <w:numId w:val="9"/>
        </w:numPr>
        <w:spacing w:after="240"/>
        <w:jc w:val="both"/>
        <w:rPr>
          <w:sz w:val="20"/>
          <w:szCs w:val="20"/>
        </w:rPr>
      </w:pPr>
      <w:r w:rsidRPr="001220B3">
        <w:rPr>
          <w:sz w:val="20"/>
          <w:szCs w:val="20"/>
        </w:rPr>
        <w:t>T</w:t>
      </w:r>
      <w:r w:rsidRPr="001220B3">
        <w:rPr>
          <w:sz w:val="20"/>
          <w:szCs w:val="20"/>
          <w:vertAlign w:val="subscript"/>
        </w:rPr>
        <w:t>on</w:t>
      </w:r>
      <w:r w:rsidRPr="001220B3">
        <w:rPr>
          <w:sz w:val="20"/>
          <w:szCs w:val="20"/>
        </w:rPr>
        <w:t xml:space="preserve"> is the current duration of a transmission,</w:t>
      </w:r>
    </w:p>
    <w:p w:rsidR="002C6324" w:rsidRPr="001220B3" w:rsidRDefault="002C6324" w:rsidP="008A063E">
      <w:pPr>
        <w:pStyle w:val="BodyText"/>
        <w:numPr>
          <w:ilvl w:val="0"/>
          <w:numId w:val="9"/>
        </w:numPr>
        <w:spacing w:after="240"/>
        <w:jc w:val="both"/>
        <w:rPr>
          <w:sz w:val="20"/>
          <w:szCs w:val="20"/>
        </w:rPr>
      </w:pPr>
      <w:r w:rsidRPr="001220B3">
        <w:rPr>
          <w:sz w:val="20"/>
          <w:szCs w:val="20"/>
        </w:rPr>
        <w:t>T</w:t>
      </w:r>
      <w:r w:rsidRPr="001220B3">
        <w:rPr>
          <w:sz w:val="20"/>
          <w:szCs w:val="20"/>
          <w:vertAlign w:val="subscript"/>
        </w:rPr>
        <w:t>off</w:t>
      </w:r>
      <w:r w:rsidRPr="001220B3">
        <w:rPr>
          <w:sz w:val="20"/>
          <w:szCs w:val="20"/>
        </w:rPr>
        <w:t xml:space="preserve"> is the current allowed minimum time between two consecutive transmissions, </w:t>
      </w:r>
    </w:p>
    <w:p w:rsidR="002C6324" w:rsidRPr="001220B3" w:rsidRDefault="002C6324" w:rsidP="008A063E">
      <w:pPr>
        <w:pStyle w:val="BodyText"/>
        <w:numPr>
          <w:ilvl w:val="0"/>
          <w:numId w:val="9"/>
        </w:numPr>
        <w:spacing w:after="240"/>
        <w:jc w:val="both"/>
        <w:rPr>
          <w:sz w:val="20"/>
          <w:szCs w:val="20"/>
        </w:rPr>
      </w:pPr>
      <w:r w:rsidRPr="001220B3">
        <w:rPr>
          <w:sz w:val="20"/>
          <w:szCs w:val="20"/>
        </w:rPr>
        <w:t xml:space="preserve">Duty Cycle is the ratio expressed as a percentage of the maximum transmitter “on” time on one carrier frequency, relative to 1 second. </w:t>
      </w:r>
      <w:r>
        <w:rPr>
          <w:sz w:val="20"/>
          <w:szCs w:val="20"/>
        </w:rPr>
        <w:fldChar w:fldCharType="begin"/>
      </w:r>
      <w:r>
        <w:rPr>
          <w:sz w:val="20"/>
          <w:szCs w:val="20"/>
        </w:rPr>
        <w:instrText xml:space="preserve"> REF _Ref458373460 \r \h </w:instrText>
      </w:r>
      <w:r>
        <w:rPr>
          <w:sz w:val="20"/>
          <w:szCs w:val="20"/>
        </w:rPr>
      </w:r>
      <w:r>
        <w:rPr>
          <w:sz w:val="20"/>
          <w:szCs w:val="20"/>
        </w:rPr>
        <w:fldChar w:fldCharType="separate"/>
      </w:r>
      <w:r w:rsidR="003024E7">
        <w:rPr>
          <w:sz w:val="20"/>
          <w:szCs w:val="20"/>
        </w:rPr>
        <w:t>[2]</w:t>
      </w:r>
      <w:r>
        <w:rPr>
          <w:sz w:val="20"/>
          <w:szCs w:val="20"/>
        </w:rPr>
        <w:fldChar w:fldCharType="end"/>
      </w:r>
    </w:p>
    <w:p w:rsidR="002C6324" w:rsidRPr="001220B3" w:rsidRDefault="002C6324" w:rsidP="002C6324">
      <w:pPr>
        <w:pStyle w:val="BodyText"/>
        <w:spacing w:after="240"/>
        <w:jc w:val="both"/>
        <w:rPr>
          <w:sz w:val="20"/>
          <w:szCs w:val="20"/>
        </w:rPr>
      </w:pPr>
      <w:r w:rsidRPr="001220B3">
        <w:rPr>
          <w:sz w:val="20"/>
          <w:szCs w:val="20"/>
        </w:rPr>
        <w:t>In this contribution we discuss the impact of m</w:t>
      </w:r>
      <w:r>
        <w:rPr>
          <w:sz w:val="20"/>
          <w:szCs w:val="20"/>
        </w:rPr>
        <w:t>aximum</w:t>
      </w:r>
      <w:r w:rsidRPr="001220B3">
        <w:rPr>
          <w:sz w:val="20"/>
          <w:szCs w:val="20"/>
        </w:rPr>
        <w:t xml:space="preserve"> T</w:t>
      </w:r>
      <w:r w:rsidRPr="001220B3">
        <w:rPr>
          <w:sz w:val="20"/>
          <w:szCs w:val="20"/>
          <w:vertAlign w:val="subscript"/>
        </w:rPr>
        <w:t>o</w:t>
      </w:r>
      <w:r>
        <w:rPr>
          <w:sz w:val="20"/>
          <w:szCs w:val="20"/>
          <w:vertAlign w:val="subscript"/>
        </w:rPr>
        <w:t>n</w:t>
      </w:r>
      <w:r w:rsidRPr="001220B3">
        <w:rPr>
          <w:sz w:val="20"/>
          <w:szCs w:val="20"/>
        </w:rPr>
        <w:t xml:space="preserve"> limit </w:t>
      </w:r>
      <w:r>
        <w:rPr>
          <w:sz w:val="20"/>
          <w:szCs w:val="20"/>
        </w:rPr>
        <w:t xml:space="preserve">on </w:t>
      </w:r>
      <w:r w:rsidRPr="001220B3">
        <w:rPr>
          <w:sz w:val="20"/>
          <w:szCs w:val="20"/>
        </w:rPr>
        <w:t xml:space="preserve">UE transmitter behavior and </w:t>
      </w:r>
      <w:r>
        <w:rPr>
          <w:sz w:val="20"/>
          <w:szCs w:val="20"/>
        </w:rPr>
        <w:t xml:space="preserve">develop solutions from RAN1 perspective </w:t>
      </w:r>
      <w:r w:rsidRPr="001220B3">
        <w:rPr>
          <w:sz w:val="20"/>
          <w:szCs w:val="20"/>
        </w:rPr>
        <w:t>for fulfilling the respective T</w:t>
      </w:r>
      <w:r w:rsidRPr="001220B3">
        <w:rPr>
          <w:sz w:val="20"/>
          <w:szCs w:val="20"/>
          <w:vertAlign w:val="subscript"/>
        </w:rPr>
        <w:t>o</w:t>
      </w:r>
      <w:r>
        <w:rPr>
          <w:sz w:val="20"/>
          <w:szCs w:val="20"/>
          <w:vertAlign w:val="subscript"/>
        </w:rPr>
        <w:t>n</w:t>
      </w:r>
      <w:r w:rsidRPr="001220B3">
        <w:rPr>
          <w:sz w:val="20"/>
          <w:szCs w:val="20"/>
        </w:rPr>
        <w:t xml:space="preserve"> requirement.</w:t>
      </w:r>
      <w:r>
        <w:rPr>
          <w:sz w:val="20"/>
          <w:szCs w:val="20"/>
        </w:rPr>
        <w:t xml:space="preserve"> A companion contribution [</w:t>
      </w:r>
      <w:r w:rsidR="008505AC">
        <w:rPr>
          <w:sz w:val="20"/>
          <w:szCs w:val="20"/>
        </w:rPr>
        <w:t>4</w:t>
      </w:r>
      <w:r>
        <w:rPr>
          <w:sz w:val="20"/>
          <w:szCs w:val="20"/>
        </w:rPr>
        <w:t>] focuses on the impact of T</w:t>
      </w:r>
      <w:r w:rsidRPr="002C6324">
        <w:rPr>
          <w:sz w:val="20"/>
          <w:szCs w:val="20"/>
          <w:vertAlign w:val="subscript"/>
        </w:rPr>
        <w:t>off</w:t>
      </w:r>
      <w:r>
        <w:rPr>
          <w:sz w:val="20"/>
          <w:szCs w:val="20"/>
        </w:rPr>
        <w:t>.</w:t>
      </w:r>
    </w:p>
    <w:p w:rsidR="002C6324" w:rsidRPr="001220B3" w:rsidRDefault="002C6324" w:rsidP="002C6324">
      <w:pPr>
        <w:pStyle w:val="Heading1"/>
        <w:rPr>
          <w:lang w:val="en-US"/>
        </w:rPr>
      </w:pPr>
      <w:r w:rsidRPr="001220B3">
        <w:rPr>
          <w:lang w:val="en-US"/>
        </w:rPr>
        <w:t>Impact from regulatory T</w:t>
      </w:r>
      <w:r w:rsidRPr="001220B3">
        <w:rPr>
          <w:vertAlign w:val="subscript"/>
          <w:lang w:val="en-US"/>
        </w:rPr>
        <w:t>o</w:t>
      </w:r>
      <w:r>
        <w:rPr>
          <w:vertAlign w:val="subscript"/>
          <w:lang w:val="en-US"/>
        </w:rPr>
        <w:t>n</w:t>
      </w:r>
      <w:r w:rsidRPr="001220B3">
        <w:rPr>
          <w:lang w:val="en-US"/>
        </w:rPr>
        <w:t xml:space="preserve"> requirements on UE transmitter behavior</w:t>
      </w:r>
    </w:p>
    <w:p w:rsidR="002C6324" w:rsidRPr="00F66CC5" w:rsidRDefault="002C6324" w:rsidP="00A4745A">
      <w:pPr>
        <w:jc w:val="both"/>
        <w:rPr>
          <w:lang w:val="en-US"/>
        </w:rPr>
      </w:pPr>
      <w:r>
        <w:rPr>
          <w:lang w:val="en-US"/>
        </w:rPr>
        <w:t xml:space="preserve">According to </w:t>
      </w:r>
      <w:r>
        <w:fldChar w:fldCharType="begin"/>
      </w:r>
      <w:r>
        <w:instrText xml:space="preserve"> REF _Ref458373460 \r \h </w:instrText>
      </w:r>
      <w:r>
        <w:fldChar w:fldCharType="separate"/>
      </w:r>
      <w:r w:rsidR="003024E7">
        <w:t>[2]</w:t>
      </w:r>
      <w:r>
        <w:fldChar w:fldCharType="end"/>
      </w:r>
      <w:r>
        <w:t>,</w:t>
      </w:r>
      <w:r w:rsidRPr="001220B3">
        <w:rPr>
          <w:lang w:val="en-US"/>
        </w:rPr>
        <w:t xml:space="preserve"> </w:t>
      </w:r>
      <w:r>
        <w:rPr>
          <w:lang w:val="en-US"/>
        </w:rPr>
        <w:t xml:space="preserve">(see also </w:t>
      </w:r>
      <w:r w:rsidRPr="001220B3">
        <w:rPr>
          <w:lang w:val="en-US"/>
        </w:rPr>
        <w:t>Appendix A</w:t>
      </w:r>
      <w:r>
        <w:rPr>
          <w:lang w:val="en-US"/>
        </w:rPr>
        <w:t>)</w:t>
      </w:r>
      <w:r w:rsidRPr="001220B3">
        <w:t xml:space="preserve"> the </w:t>
      </w:r>
      <w:r>
        <w:t xml:space="preserve">minimum </w:t>
      </w:r>
      <w:r w:rsidRPr="001220B3">
        <w:t>T</w:t>
      </w:r>
      <w:r w:rsidRPr="001220B3">
        <w:rPr>
          <w:vertAlign w:val="subscript"/>
        </w:rPr>
        <w:t>o</w:t>
      </w:r>
      <w:r w:rsidR="001E4F0C">
        <w:rPr>
          <w:vertAlign w:val="subscript"/>
        </w:rPr>
        <w:t>n</w:t>
      </w:r>
      <w:r w:rsidRPr="001220B3">
        <w:t xml:space="preserve"> </w:t>
      </w:r>
      <w:r>
        <w:t xml:space="preserve">limit </w:t>
      </w:r>
      <w:r w:rsidRPr="001220B3">
        <w:t xml:space="preserve">is </w:t>
      </w:r>
      <w:r w:rsidR="001E4F0C">
        <w:t>4</w:t>
      </w:r>
      <w:r w:rsidRPr="001220B3">
        <w:t> ms</w:t>
      </w:r>
      <w:r w:rsidR="001E4F0C">
        <w:t xml:space="preserve">, which implies that a UE might be able to transmit </w:t>
      </w:r>
      <w:r w:rsidR="00C95A40">
        <w:t xml:space="preserve">up to </w:t>
      </w:r>
      <w:r w:rsidR="001E4F0C">
        <w:t>4 retransmissions within such time budget. Unfortunately, the presence of the sidelink gap makes the transmission discontinuous and precludes such possibility. We believe that it is important that LTE UEs are able to transmit up to 4 adjacent retx and we suggest to adapt LTE specifications accordingly.</w:t>
      </w:r>
    </w:p>
    <w:p w:rsidR="002C6324" w:rsidRPr="001220B3" w:rsidRDefault="002C6324" w:rsidP="00A4745A">
      <w:pPr>
        <w:pStyle w:val="BodyText"/>
        <w:spacing w:after="240"/>
        <w:jc w:val="both"/>
        <w:rPr>
          <w:b/>
          <w:i/>
          <w:sz w:val="20"/>
          <w:szCs w:val="20"/>
        </w:rPr>
      </w:pPr>
      <w:r w:rsidRPr="001220B3">
        <w:rPr>
          <w:b/>
          <w:i/>
          <w:sz w:val="20"/>
          <w:szCs w:val="20"/>
        </w:rPr>
        <w:t>Observations:</w:t>
      </w:r>
    </w:p>
    <w:p w:rsidR="002C6324" w:rsidRDefault="002C6324" w:rsidP="00A4745A">
      <w:pPr>
        <w:pStyle w:val="BodyText"/>
        <w:numPr>
          <w:ilvl w:val="0"/>
          <w:numId w:val="8"/>
        </w:numPr>
        <w:spacing w:after="240"/>
        <w:jc w:val="both"/>
        <w:rPr>
          <w:b/>
          <w:i/>
          <w:sz w:val="20"/>
          <w:szCs w:val="20"/>
        </w:rPr>
      </w:pPr>
      <w:r>
        <w:rPr>
          <w:b/>
          <w:i/>
          <w:sz w:val="20"/>
          <w:szCs w:val="20"/>
        </w:rPr>
        <w:t>According to draft</w:t>
      </w:r>
      <w:r w:rsidRPr="001220B3">
        <w:rPr>
          <w:b/>
          <w:i/>
          <w:sz w:val="20"/>
          <w:szCs w:val="20"/>
        </w:rPr>
        <w:t xml:space="preserve"> ETSI EN 302 571</w:t>
      </w:r>
      <w:r>
        <w:rPr>
          <w:b/>
          <w:i/>
          <w:sz w:val="20"/>
          <w:szCs w:val="20"/>
        </w:rPr>
        <w:t xml:space="preserve"> V2.0.0 (2016-03)</w:t>
      </w:r>
      <w:r w:rsidRPr="001220B3">
        <w:rPr>
          <w:b/>
          <w:i/>
          <w:sz w:val="20"/>
          <w:szCs w:val="20"/>
        </w:rPr>
        <w:t xml:space="preserve"> </w:t>
      </w:r>
      <w:r w:rsidRPr="00E20B1B">
        <w:rPr>
          <w:b/>
          <w:i/>
          <w:sz w:val="20"/>
          <w:szCs w:val="20"/>
          <w:lang w:val="en-GB"/>
        </w:rPr>
        <w:fldChar w:fldCharType="begin"/>
      </w:r>
      <w:r w:rsidRPr="00E20B1B">
        <w:rPr>
          <w:b/>
          <w:i/>
          <w:sz w:val="20"/>
          <w:szCs w:val="20"/>
          <w:lang w:val="en-GB"/>
        </w:rPr>
        <w:instrText xml:space="preserve"> REF _Ref458373156 \r \h </w:instrText>
      </w:r>
      <w:r w:rsidR="00A4745A">
        <w:rPr>
          <w:b/>
          <w:i/>
          <w:sz w:val="20"/>
          <w:szCs w:val="20"/>
          <w:lang w:val="en-GB"/>
        </w:rPr>
        <w:instrText xml:space="preserve"> \* MERGEFORMAT </w:instrText>
      </w:r>
      <w:r w:rsidRPr="00E20B1B">
        <w:rPr>
          <w:b/>
          <w:i/>
          <w:sz w:val="20"/>
          <w:szCs w:val="20"/>
          <w:lang w:val="en-GB"/>
        </w:rPr>
      </w:r>
      <w:r w:rsidRPr="00E20B1B">
        <w:rPr>
          <w:b/>
          <w:i/>
          <w:sz w:val="20"/>
          <w:szCs w:val="20"/>
          <w:lang w:val="en-GB"/>
        </w:rPr>
        <w:fldChar w:fldCharType="separate"/>
      </w:r>
      <w:r w:rsidR="003024E7">
        <w:rPr>
          <w:b/>
          <w:i/>
          <w:sz w:val="20"/>
          <w:szCs w:val="20"/>
          <w:lang w:val="en-GB"/>
        </w:rPr>
        <w:t>[1]</w:t>
      </w:r>
      <w:r w:rsidRPr="00E20B1B">
        <w:rPr>
          <w:b/>
          <w:i/>
          <w:sz w:val="20"/>
          <w:szCs w:val="20"/>
        </w:rPr>
        <w:fldChar w:fldCharType="end"/>
      </w:r>
      <w:r w:rsidRPr="00E20B1B">
        <w:rPr>
          <w:b/>
          <w:i/>
          <w:sz w:val="20"/>
          <w:szCs w:val="20"/>
          <w:lang w:val="en-GB"/>
        </w:rPr>
        <w:t xml:space="preserve"> </w:t>
      </w:r>
      <w:r w:rsidRPr="00E20B1B">
        <w:rPr>
          <w:b/>
          <w:i/>
          <w:sz w:val="20"/>
          <w:szCs w:val="20"/>
          <w:lang w:val="en-GB"/>
        </w:rPr>
        <w:fldChar w:fldCharType="begin"/>
      </w:r>
      <w:r w:rsidRPr="00E20B1B">
        <w:rPr>
          <w:b/>
          <w:i/>
          <w:sz w:val="20"/>
          <w:szCs w:val="20"/>
          <w:lang w:val="en-GB"/>
        </w:rPr>
        <w:instrText xml:space="preserve"> REF _Ref458373460 \r \h </w:instrText>
      </w:r>
      <w:r w:rsidR="00A4745A">
        <w:rPr>
          <w:b/>
          <w:i/>
          <w:sz w:val="20"/>
          <w:szCs w:val="20"/>
          <w:lang w:val="en-GB"/>
        </w:rPr>
        <w:instrText xml:space="preserve"> \* MERGEFORMAT </w:instrText>
      </w:r>
      <w:r w:rsidRPr="00E20B1B">
        <w:rPr>
          <w:b/>
          <w:i/>
          <w:sz w:val="20"/>
          <w:szCs w:val="20"/>
          <w:lang w:val="en-GB"/>
        </w:rPr>
      </w:r>
      <w:r w:rsidRPr="00E20B1B">
        <w:rPr>
          <w:b/>
          <w:i/>
          <w:sz w:val="20"/>
          <w:szCs w:val="20"/>
          <w:lang w:val="en-GB"/>
        </w:rPr>
        <w:fldChar w:fldCharType="separate"/>
      </w:r>
      <w:r w:rsidR="003024E7">
        <w:rPr>
          <w:b/>
          <w:i/>
          <w:sz w:val="20"/>
          <w:szCs w:val="20"/>
          <w:lang w:val="en-GB"/>
        </w:rPr>
        <w:t>[2]</w:t>
      </w:r>
      <w:r w:rsidRPr="00E20B1B">
        <w:rPr>
          <w:b/>
          <w:i/>
          <w:sz w:val="20"/>
          <w:szCs w:val="20"/>
        </w:rPr>
        <w:fldChar w:fldCharType="end"/>
      </w:r>
      <w:r>
        <w:rPr>
          <w:b/>
          <w:i/>
          <w:sz w:val="20"/>
          <w:szCs w:val="20"/>
        </w:rPr>
        <w:t xml:space="preserve">, the </w:t>
      </w:r>
      <w:r w:rsidR="001E4F0C">
        <w:rPr>
          <w:b/>
          <w:i/>
          <w:sz w:val="20"/>
          <w:szCs w:val="20"/>
        </w:rPr>
        <w:t>maximum</w:t>
      </w:r>
      <w:r w:rsidRPr="001220B3">
        <w:rPr>
          <w:b/>
          <w:i/>
          <w:sz w:val="20"/>
          <w:szCs w:val="20"/>
        </w:rPr>
        <w:t xml:space="preserve"> </w:t>
      </w:r>
      <w:r w:rsidR="00077B44" w:rsidRPr="008444F1">
        <w:rPr>
          <w:b/>
          <w:i/>
          <w:sz w:val="20"/>
          <w:szCs w:val="20"/>
        </w:rPr>
        <w:t>T</w:t>
      </w:r>
      <w:r w:rsidR="00077B44">
        <w:rPr>
          <w:b/>
          <w:i/>
          <w:sz w:val="20"/>
          <w:szCs w:val="20"/>
          <w:vertAlign w:val="subscript"/>
        </w:rPr>
        <w:t>on</w:t>
      </w:r>
      <w:r w:rsidR="00077B44" w:rsidRPr="001220B3">
        <w:rPr>
          <w:b/>
          <w:i/>
          <w:sz w:val="20"/>
          <w:szCs w:val="20"/>
        </w:rPr>
        <w:t xml:space="preserve"> </w:t>
      </w:r>
      <w:r>
        <w:rPr>
          <w:b/>
          <w:i/>
          <w:sz w:val="20"/>
          <w:szCs w:val="20"/>
        </w:rPr>
        <w:t>limit is</w:t>
      </w:r>
      <w:r w:rsidRPr="001220B3">
        <w:rPr>
          <w:b/>
          <w:i/>
          <w:sz w:val="20"/>
          <w:szCs w:val="20"/>
        </w:rPr>
        <w:t xml:space="preserve"> </w:t>
      </w:r>
      <w:r w:rsidR="001E4F0C">
        <w:rPr>
          <w:b/>
          <w:i/>
          <w:sz w:val="20"/>
          <w:szCs w:val="20"/>
        </w:rPr>
        <w:t>4</w:t>
      </w:r>
      <w:r w:rsidRPr="001220B3">
        <w:rPr>
          <w:b/>
          <w:i/>
          <w:sz w:val="20"/>
          <w:szCs w:val="20"/>
        </w:rPr>
        <w:t>ms</w:t>
      </w:r>
      <w:r w:rsidR="001E4F0C">
        <w:rPr>
          <w:b/>
          <w:i/>
          <w:sz w:val="20"/>
          <w:szCs w:val="20"/>
        </w:rPr>
        <w:t>, which may allow up to 4 LTE retx.</w:t>
      </w:r>
    </w:p>
    <w:p w:rsidR="001E4F0C" w:rsidRPr="008505AC" w:rsidRDefault="008505AC" w:rsidP="00A4745A">
      <w:pPr>
        <w:pStyle w:val="BodyText"/>
        <w:numPr>
          <w:ilvl w:val="0"/>
          <w:numId w:val="8"/>
        </w:numPr>
        <w:spacing w:after="240"/>
        <w:jc w:val="both"/>
        <w:rPr>
          <w:b/>
          <w:i/>
          <w:sz w:val="20"/>
          <w:szCs w:val="20"/>
        </w:rPr>
      </w:pPr>
      <w:r>
        <w:rPr>
          <w:b/>
          <w:i/>
          <w:sz w:val="20"/>
          <w:szCs w:val="20"/>
        </w:rPr>
        <w:t>However, due to</w:t>
      </w:r>
      <w:r w:rsidRPr="00F83D8C">
        <w:rPr>
          <w:b/>
          <w:i/>
          <w:sz w:val="20"/>
          <w:szCs w:val="20"/>
        </w:rPr>
        <w:t xml:space="preserve"> the </w:t>
      </w:r>
      <w:r>
        <w:rPr>
          <w:b/>
          <w:i/>
          <w:sz w:val="20"/>
          <w:szCs w:val="20"/>
        </w:rPr>
        <w:t>gap</w:t>
      </w:r>
      <w:r w:rsidRPr="00F83D8C">
        <w:rPr>
          <w:b/>
          <w:i/>
          <w:sz w:val="20"/>
          <w:szCs w:val="20"/>
        </w:rPr>
        <w:t xml:space="preserve"> in each subframe, i.e. the guard period (GP), transmission of multiple adjacent subframes </w:t>
      </w:r>
      <w:r>
        <w:rPr>
          <w:b/>
          <w:i/>
          <w:sz w:val="20"/>
          <w:szCs w:val="20"/>
        </w:rPr>
        <w:t xml:space="preserve">from a UE </w:t>
      </w:r>
      <w:r w:rsidRPr="00F83D8C">
        <w:rPr>
          <w:b/>
          <w:i/>
          <w:sz w:val="20"/>
          <w:szCs w:val="20"/>
        </w:rPr>
        <w:t>cannot be considered as a single transmission from the radio point of view.</w:t>
      </w:r>
    </w:p>
    <w:p w:rsidR="001E4F0C" w:rsidRDefault="001E4F0C" w:rsidP="00A4745A">
      <w:pPr>
        <w:pStyle w:val="BodyText"/>
        <w:spacing w:after="240"/>
        <w:jc w:val="both"/>
        <w:rPr>
          <w:b/>
          <w:i/>
          <w:sz w:val="20"/>
          <w:szCs w:val="20"/>
        </w:rPr>
      </w:pPr>
      <w:r>
        <w:rPr>
          <w:b/>
          <w:i/>
          <w:sz w:val="20"/>
          <w:szCs w:val="20"/>
        </w:rPr>
        <w:t>Proposals:</w:t>
      </w:r>
    </w:p>
    <w:p w:rsidR="002C6324" w:rsidRPr="001E4F0C" w:rsidRDefault="001E4F0C" w:rsidP="00A4745A">
      <w:pPr>
        <w:pStyle w:val="BodyText"/>
        <w:numPr>
          <w:ilvl w:val="0"/>
          <w:numId w:val="10"/>
        </w:numPr>
        <w:spacing w:after="240"/>
        <w:jc w:val="both"/>
        <w:rPr>
          <w:b/>
          <w:i/>
          <w:sz w:val="20"/>
          <w:szCs w:val="20"/>
        </w:rPr>
      </w:pPr>
      <w:r>
        <w:rPr>
          <w:b/>
          <w:i/>
          <w:sz w:val="20"/>
          <w:szCs w:val="20"/>
        </w:rPr>
        <w:t>Modify the LTE sidelink design in order to enable adjacent retransmissions and fulfill ETSI requirements.</w:t>
      </w:r>
    </w:p>
    <w:p w:rsidR="002C6324" w:rsidRDefault="001E4F0C" w:rsidP="00A4745A">
      <w:pPr>
        <w:jc w:val="both"/>
        <w:rPr>
          <w:lang w:val="en-US"/>
        </w:rPr>
      </w:pPr>
      <w:r>
        <w:rPr>
          <w:lang w:val="en-US"/>
        </w:rPr>
        <w:t>Adapting the UE transmitter behavior to fulfill the T</w:t>
      </w:r>
      <w:r w:rsidRPr="008505AC">
        <w:rPr>
          <w:vertAlign w:val="subscript"/>
          <w:lang w:val="en-US"/>
        </w:rPr>
        <w:t>on</w:t>
      </w:r>
      <w:r>
        <w:rPr>
          <w:lang w:val="en-US"/>
        </w:rPr>
        <w:t xml:space="preserve"> requirement is relatively straightforward. </w:t>
      </w:r>
      <w:r w:rsidR="002C6324" w:rsidRPr="001220B3">
        <w:rPr>
          <w:lang w:val="en-US"/>
        </w:rPr>
        <w:t xml:space="preserve">In case the transmission </w:t>
      </w:r>
      <w:r w:rsidR="008505AC">
        <w:rPr>
          <w:lang w:val="en-US"/>
        </w:rPr>
        <w:t>from a UE</w:t>
      </w:r>
      <w:r w:rsidR="002C6324" w:rsidRPr="001220B3">
        <w:rPr>
          <w:lang w:val="en-US"/>
        </w:rPr>
        <w:t xml:space="preserve"> </w:t>
      </w:r>
      <w:r w:rsidR="002C6324">
        <w:rPr>
          <w:lang w:val="en-US"/>
        </w:rPr>
        <w:t>consists of</w:t>
      </w:r>
      <w:r w:rsidR="002C6324" w:rsidRPr="001220B3">
        <w:rPr>
          <w:lang w:val="en-US"/>
        </w:rPr>
        <w:t xml:space="preserve"> more than one</w:t>
      </w:r>
      <w:r w:rsidR="008505AC">
        <w:rPr>
          <w:lang w:val="en-US"/>
        </w:rPr>
        <w:t xml:space="preserve"> adjacent</w:t>
      </w:r>
      <w:r w:rsidR="002C6324" w:rsidRPr="001220B3">
        <w:rPr>
          <w:lang w:val="en-US"/>
        </w:rPr>
        <w:t xml:space="preserve"> subframe</w:t>
      </w:r>
      <w:r w:rsidR="008505AC">
        <w:rPr>
          <w:lang w:val="en-US"/>
        </w:rPr>
        <w:t>s</w:t>
      </w:r>
      <w:r w:rsidR="002C6324" w:rsidRPr="001220B3">
        <w:rPr>
          <w:lang w:val="en-US"/>
        </w:rPr>
        <w:t>,</w:t>
      </w:r>
      <w:r w:rsidR="002C6324">
        <w:rPr>
          <w:lang w:val="en-US"/>
        </w:rPr>
        <w:t xml:space="preserve"> e.g. due to multiple data retransmissions,</w:t>
      </w:r>
      <w:r w:rsidR="002C6324" w:rsidRPr="001220B3">
        <w:rPr>
          <w:lang w:val="en-US"/>
        </w:rPr>
        <w:t xml:space="preserve"> </w:t>
      </w:r>
      <w:r w:rsidR="008505AC">
        <w:rPr>
          <w:lang w:val="en-US"/>
        </w:rPr>
        <w:t>the UE should not insert gaps between the coscheduled adjacent subframes</w:t>
      </w:r>
      <w:r w:rsidR="003024E7">
        <w:rPr>
          <w:lang w:val="en-US"/>
        </w:rPr>
        <w:t xml:space="preserve"> at least if they span the same scheduled bandwidth</w:t>
      </w:r>
      <w:r w:rsidR="008505AC">
        <w:rPr>
          <w:lang w:val="en-US"/>
        </w:rPr>
        <w:t>. Gaps are provided as usua</w:t>
      </w:r>
      <w:r w:rsidR="003024E7">
        <w:rPr>
          <w:lang w:val="en-US"/>
        </w:rPr>
        <w:t>l</w:t>
      </w:r>
      <w:r w:rsidR="008505AC">
        <w:rPr>
          <w:lang w:val="en-US"/>
        </w:rPr>
        <w:t xml:space="preserve"> for transmissions that are not adjacent in time.</w:t>
      </w:r>
      <w:r w:rsidR="002C6324" w:rsidRPr="001220B3">
        <w:rPr>
          <w:lang w:val="en-US"/>
        </w:rPr>
        <w:t xml:space="preserve"> </w:t>
      </w:r>
      <w:r w:rsidR="00BA6482">
        <w:rPr>
          <w:lang w:val="en-US"/>
        </w:rPr>
        <w:t xml:space="preserve">We discuss the problem of supporting adjacent transmissions from the point of view of resource allocation in </w:t>
      </w:r>
      <w:r w:rsidR="00BA6482">
        <w:rPr>
          <w:lang w:val="en-US"/>
        </w:rPr>
        <w:fldChar w:fldCharType="begin"/>
      </w:r>
      <w:r w:rsidR="00BA6482">
        <w:rPr>
          <w:lang w:val="en-US"/>
        </w:rPr>
        <w:instrText xml:space="preserve"> REF _Ref463011772 \r \h </w:instrText>
      </w:r>
      <w:r w:rsidR="00BA6482">
        <w:rPr>
          <w:lang w:val="en-US"/>
        </w:rPr>
      </w:r>
      <w:r w:rsidR="00BA6482">
        <w:rPr>
          <w:lang w:val="en-US"/>
        </w:rPr>
        <w:fldChar w:fldCharType="separate"/>
      </w:r>
      <w:r w:rsidR="00BA6482">
        <w:rPr>
          <w:lang w:val="en-US"/>
        </w:rPr>
        <w:t>[5]</w:t>
      </w:r>
      <w:r w:rsidR="00BA6482">
        <w:rPr>
          <w:lang w:val="en-US"/>
        </w:rPr>
        <w:fldChar w:fldCharType="end"/>
      </w:r>
      <w:r w:rsidR="00BA6482">
        <w:rPr>
          <w:lang w:val="en-US"/>
        </w:rPr>
        <w:t>.</w:t>
      </w:r>
    </w:p>
    <w:p w:rsidR="002C6324" w:rsidRPr="001220B3" w:rsidRDefault="002C6324" w:rsidP="00A4745A">
      <w:pPr>
        <w:pStyle w:val="BodyText"/>
        <w:spacing w:after="240"/>
        <w:jc w:val="both"/>
        <w:rPr>
          <w:b/>
          <w:i/>
          <w:sz w:val="20"/>
          <w:szCs w:val="20"/>
        </w:rPr>
      </w:pPr>
      <w:r w:rsidRPr="001220B3">
        <w:rPr>
          <w:b/>
          <w:i/>
          <w:sz w:val="20"/>
          <w:szCs w:val="20"/>
        </w:rPr>
        <w:t>Proposals:</w:t>
      </w:r>
    </w:p>
    <w:p w:rsidR="002C6324" w:rsidRDefault="002C6324" w:rsidP="00A4745A">
      <w:pPr>
        <w:pStyle w:val="BodyText"/>
        <w:numPr>
          <w:ilvl w:val="0"/>
          <w:numId w:val="8"/>
        </w:numPr>
        <w:spacing w:after="240"/>
        <w:jc w:val="both"/>
        <w:rPr>
          <w:b/>
          <w:i/>
          <w:sz w:val="20"/>
          <w:szCs w:val="20"/>
        </w:rPr>
      </w:pPr>
      <w:r w:rsidRPr="001220B3">
        <w:rPr>
          <w:b/>
          <w:i/>
          <w:sz w:val="20"/>
          <w:szCs w:val="20"/>
        </w:rPr>
        <w:t xml:space="preserve">In case </w:t>
      </w:r>
      <w:r w:rsidR="008505AC">
        <w:rPr>
          <w:b/>
          <w:i/>
          <w:sz w:val="20"/>
          <w:szCs w:val="20"/>
        </w:rPr>
        <w:t>a UE transmits multiple adjacent sidelink subframes the gap is only inserted at the end of the contiguous transmission.</w:t>
      </w:r>
      <w:r w:rsidRPr="001220B3">
        <w:rPr>
          <w:b/>
          <w:i/>
          <w:sz w:val="20"/>
          <w:szCs w:val="20"/>
        </w:rPr>
        <w:t xml:space="preserve"> </w:t>
      </w:r>
    </w:p>
    <w:p w:rsidR="008505AC" w:rsidRDefault="008505AC" w:rsidP="00A4745A">
      <w:pPr>
        <w:pStyle w:val="BodyText"/>
        <w:numPr>
          <w:ilvl w:val="1"/>
          <w:numId w:val="8"/>
        </w:numPr>
        <w:spacing w:after="240"/>
        <w:jc w:val="both"/>
        <w:rPr>
          <w:b/>
          <w:i/>
          <w:sz w:val="20"/>
          <w:szCs w:val="20"/>
        </w:rPr>
      </w:pPr>
      <w:r>
        <w:rPr>
          <w:b/>
          <w:i/>
          <w:sz w:val="20"/>
          <w:szCs w:val="20"/>
        </w:rPr>
        <w:t>Data transmission is not truncated in the last symbols that do not carry a gap.</w:t>
      </w:r>
    </w:p>
    <w:p w:rsidR="003024E7" w:rsidRDefault="003024E7" w:rsidP="00A4745A">
      <w:pPr>
        <w:pStyle w:val="BodyText"/>
        <w:numPr>
          <w:ilvl w:val="0"/>
          <w:numId w:val="8"/>
        </w:numPr>
        <w:spacing w:after="240"/>
        <w:jc w:val="both"/>
        <w:rPr>
          <w:b/>
          <w:i/>
          <w:sz w:val="20"/>
          <w:szCs w:val="20"/>
        </w:rPr>
      </w:pPr>
      <w:r>
        <w:rPr>
          <w:b/>
          <w:i/>
          <w:sz w:val="20"/>
          <w:szCs w:val="20"/>
        </w:rPr>
        <w:t>FFS whether the gap should be used if adjacent retransmissions of a same subframe span different PRBs</w:t>
      </w:r>
    </w:p>
    <w:p w:rsidR="002C6324" w:rsidRDefault="002C6324" w:rsidP="00A4745A">
      <w:pPr>
        <w:jc w:val="both"/>
        <w:rPr>
          <w:lang w:val="en-US"/>
        </w:rPr>
      </w:pPr>
      <w:r>
        <w:rPr>
          <w:lang w:val="en-US"/>
        </w:rPr>
        <w:fldChar w:fldCharType="begin"/>
      </w:r>
      <w:r>
        <w:rPr>
          <w:lang w:val="en-US"/>
        </w:rPr>
        <w:instrText xml:space="preserve"> REF _Ref458370329 \h </w:instrText>
      </w:r>
      <w:r w:rsidR="00A4745A">
        <w:rPr>
          <w:lang w:val="en-US"/>
        </w:rPr>
        <w:instrText xml:space="preserve"> \* MERGEFORMAT </w:instrText>
      </w:r>
      <w:r>
        <w:rPr>
          <w:lang w:val="en-US"/>
        </w:rPr>
      </w:r>
      <w:r>
        <w:rPr>
          <w:lang w:val="en-US"/>
        </w:rPr>
        <w:fldChar w:fldCharType="separate"/>
      </w:r>
      <w:r w:rsidR="003024E7">
        <w:t xml:space="preserve">Figure </w:t>
      </w:r>
      <w:r w:rsidR="003024E7">
        <w:rPr>
          <w:noProof/>
        </w:rPr>
        <w:t>1</w:t>
      </w:r>
      <w:r>
        <w:rPr>
          <w:lang w:val="en-US"/>
        </w:rPr>
        <w:fldChar w:fldCharType="end"/>
      </w:r>
      <w:r>
        <w:rPr>
          <w:lang w:val="en-US"/>
        </w:rPr>
        <w:t xml:space="preserve"> shows an example of a transmission consisting of three adjacent subframes.</w:t>
      </w:r>
      <w:r w:rsidR="00194BC2">
        <w:rPr>
          <w:lang w:val="en-US"/>
        </w:rPr>
        <w:t xml:space="preserve"> </w:t>
      </w:r>
    </w:p>
    <w:p w:rsidR="002C6324" w:rsidRDefault="00D829DC" w:rsidP="00A4745A">
      <w:pPr>
        <w:keepNext/>
        <w:jc w:val="center"/>
      </w:pPr>
      <w:r>
        <w:rPr>
          <w:noProof/>
          <w:lang w:val="en-US"/>
        </w:rPr>
        <w:lastRenderedPageBreak/>
        <w:drawing>
          <wp:inline distT="0" distB="0" distL="0" distR="0" wp14:anchorId="753FD83B" wp14:editId="2D573BB5">
            <wp:extent cx="6428096" cy="194991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39033" cy="1953230"/>
                    </a:xfrm>
                    <a:prstGeom prst="rect">
                      <a:avLst/>
                    </a:prstGeom>
                    <a:noFill/>
                  </pic:spPr>
                </pic:pic>
              </a:graphicData>
            </a:graphic>
          </wp:inline>
        </w:drawing>
      </w:r>
    </w:p>
    <w:p w:rsidR="002C6324" w:rsidRDefault="002C6324" w:rsidP="00A4745A">
      <w:pPr>
        <w:pStyle w:val="Caption"/>
        <w:jc w:val="center"/>
      </w:pPr>
      <w:bookmarkStart w:id="4" w:name="_Ref458370329"/>
      <w:r>
        <w:t xml:space="preserve">Figure </w:t>
      </w:r>
      <w:r>
        <w:fldChar w:fldCharType="begin"/>
      </w:r>
      <w:r>
        <w:instrText xml:space="preserve"> SEQ Figure \* ARABIC </w:instrText>
      </w:r>
      <w:r>
        <w:fldChar w:fldCharType="separate"/>
      </w:r>
      <w:r w:rsidR="003024E7">
        <w:rPr>
          <w:noProof/>
        </w:rPr>
        <w:t>1</w:t>
      </w:r>
      <w:r>
        <w:fldChar w:fldCharType="end"/>
      </w:r>
      <w:bookmarkEnd w:id="4"/>
      <w:r>
        <w:t xml:space="preserve">: Three adjacent </w:t>
      </w:r>
      <w:r w:rsidR="00D11FAB">
        <w:t>retx of same TB, over the same BW, according to the proposal</w:t>
      </w:r>
      <w:r>
        <w:t>.</w:t>
      </w:r>
      <w:r w:rsidR="00D11FAB">
        <w:t xml:space="preserve"> Only the last symbol is a gap and AGC is trained only done once at the beginning of the transmission.</w:t>
      </w:r>
    </w:p>
    <w:p w:rsidR="00D11FAB" w:rsidRDefault="003024E7" w:rsidP="00A4745A">
      <w:pPr>
        <w:jc w:val="both"/>
      </w:pPr>
      <w:r>
        <w:rPr>
          <w:noProof/>
          <w:lang w:val="en-US"/>
        </w:rPr>
        <w:drawing>
          <wp:inline distT="0" distB="0" distL="0" distR="0" wp14:anchorId="2F623F5A" wp14:editId="6725321D">
            <wp:extent cx="6473686" cy="2499766"/>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0837" cy="2502527"/>
                    </a:xfrm>
                    <a:prstGeom prst="rect">
                      <a:avLst/>
                    </a:prstGeom>
                    <a:noFill/>
                  </pic:spPr>
                </pic:pic>
              </a:graphicData>
            </a:graphic>
          </wp:inline>
        </w:drawing>
      </w:r>
    </w:p>
    <w:p w:rsidR="00D11FAB" w:rsidRPr="00D11FAB" w:rsidRDefault="00D11FAB" w:rsidP="00A4745A">
      <w:pPr>
        <w:pStyle w:val="Caption"/>
        <w:jc w:val="center"/>
        <w:rPr>
          <w:lang w:val="en-US"/>
        </w:rPr>
      </w:pPr>
      <w:r>
        <w:t xml:space="preserve">Figure </w:t>
      </w:r>
      <w:r>
        <w:fldChar w:fldCharType="begin"/>
      </w:r>
      <w:r>
        <w:instrText xml:space="preserve"> SEQ Figure \* ARABIC </w:instrText>
      </w:r>
      <w:r>
        <w:fldChar w:fldCharType="separate"/>
      </w:r>
      <w:r w:rsidR="003024E7">
        <w:rPr>
          <w:noProof/>
        </w:rPr>
        <w:t>2</w:t>
      </w:r>
      <w:r>
        <w:fldChar w:fldCharType="end"/>
      </w:r>
      <w:r>
        <w:t xml:space="preserve">: Three adjacent retx of same TB, over different BWs, according to the proposal. </w:t>
      </w:r>
      <w:r w:rsidR="003024E7">
        <w:t>G</w:t>
      </w:r>
      <w:r>
        <w:t>ap</w:t>
      </w:r>
      <w:r w:rsidR="003024E7">
        <w:t xml:space="preserve"> is present in each subframe</w:t>
      </w:r>
      <w:r>
        <w:t xml:space="preserve"> and AGC is trained for each of the subframes.</w:t>
      </w:r>
    </w:p>
    <w:p w:rsidR="00194BC2" w:rsidRDefault="00194BC2" w:rsidP="00BB710B">
      <w:pPr>
        <w:pStyle w:val="Heading1"/>
        <w:rPr>
          <w:lang w:val="en-US"/>
        </w:rPr>
      </w:pPr>
      <w:r>
        <w:rPr>
          <w:lang w:val="en-US"/>
        </w:rPr>
        <w:t>Receiver Behavior</w:t>
      </w:r>
    </w:p>
    <w:p w:rsidR="00194BC2" w:rsidRDefault="00194BC2" w:rsidP="00A4745A">
      <w:pPr>
        <w:tabs>
          <w:tab w:val="center" w:pos="5131"/>
        </w:tabs>
        <w:jc w:val="both"/>
        <w:rPr>
          <w:lang w:val="en-US"/>
        </w:rPr>
      </w:pPr>
      <w:r>
        <w:rPr>
          <w:lang w:val="en-US"/>
        </w:rPr>
        <w:t>The receiver s</w:t>
      </w:r>
      <w:r w:rsidR="00BB710B">
        <w:rPr>
          <w:lang w:val="en-US"/>
        </w:rPr>
        <w:t>hould take advantage of the lack of truncation of last OFDM symbol whenever possible. While a number of implementation-specific optimizations should be possible, we believe that RAN4 discussions should reflect the following intended UE behavior:</w:t>
      </w:r>
    </w:p>
    <w:p w:rsidR="00BB710B" w:rsidRPr="00BB710B" w:rsidRDefault="00BB710B" w:rsidP="00A4745A">
      <w:pPr>
        <w:tabs>
          <w:tab w:val="center" w:pos="5131"/>
        </w:tabs>
        <w:jc w:val="both"/>
        <w:rPr>
          <w:b/>
          <w:i/>
          <w:lang w:val="en-US"/>
        </w:rPr>
      </w:pPr>
      <w:r w:rsidRPr="00BB710B">
        <w:rPr>
          <w:b/>
          <w:i/>
          <w:lang w:val="en-US"/>
        </w:rPr>
        <w:t>Proposals:</w:t>
      </w:r>
    </w:p>
    <w:p w:rsidR="00BB710B" w:rsidRPr="00BB710B" w:rsidRDefault="00BB710B" w:rsidP="00A4745A">
      <w:pPr>
        <w:pStyle w:val="ListParagraph"/>
        <w:numPr>
          <w:ilvl w:val="0"/>
          <w:numId w:val="11"/>
        </w:numPr>
        <w:tabs>
          <w:tab w:val="center" w:pos="5131"/>
        </w:tabs>
        <w:jc w:val="both"/>
        <w:rPr>
          <w:rFonts w:ascii="Times New Roman" w:hAnsi="Times New Roman" w:cs="Times New Roman"/>
          <w:b/>
          <w:i/>
          <w:sz w:val="20"/>
          <w:szCs w:val="20"/>
        </w:rPr>
      </w:pPr>
      <w:r w:rsidRPr="00BB710B">
        <w:rPr>
          <w:rFonts w:ascii="Times New Roman" w:hAnsi="Times New Roman" w:cs="Times New Roman"/>
          <w:b/>
          <w:i/>
          <w:sz w:val="20"/>
          <w:szCs w:val="20"/>
        </w:rPr>
        <w:t>If a TB is retransmitted over the same bandwidth and adjacent to a previous (re)transmission of the same TB, the receiving UE is expected to use the first OFDM symbol in the retransmission for data detection</w:t>
      </w:r>
    </w:p>
    <w:p w:rsidR="00BB710B" w:rsidRPr="00BB710B" w:rsidRDefault="00BB710B" w:rsidP="00A4745A">
      <w:pPr>
        <w:pStyle w:val="ListParagraph"/>
        <w:numPr>
          <w:ilvl w:val="1"/>
          <w:numId w:val="11"/>
        </w:numPr>
        <w:tabs>
          <w:tab w:val="center" w:pos="5131"/>
        </w:tabs>
        <w:jc w:val="both"/>
        <w:rPr>
          <w:rFonts w:ascii="Times New Roman" w:hAnsi="Times New Roman" w:cs="Times New Roman"/>
          <w:b/>
          <w:i/>
          <w:sz w:val="20"/>
          <w:szCs w:val="20"/>
        </w:rPr>
      </w:pPr>
      <w:r w:rsidRPr="00BB710B">
        <w:rPr>
          <w:rFonts w:ascii="Times New Roman" w:hAnsi="Times New Roman" w:cs="Times New Roman"/>
          <w:b/>
          <w:i/>
          <w:sz w:val="20"/>
          <w:szCs w:val="20"/>
        </w:rPr>
        <w:t>In all other cases the UE may use the first OFDM symbol for AGC training.</w:t>
      </w:r>
    </w:p>
    <w:p w:rsidR="00BB710B" w:rsidRPr="00BB710B" w:rsidRDefault="00BB710B" w:rsidP="008A063E">
      <w:pPr>
        <w:pStyle w:val="ListParagraph"/>
        <w:numPr>
          <w:ilvl w:val="0"/>
          <w:numId w:val="11"/>
        </w:numPr>
        <w:tabs>
          <w:tab w:val="center" w:pos="5131"/>
        </w:tabs>
        <w:rPr>
          <w:rFonts w:ascii="Times New Roman" w:hAnsi="Times New Roman" w:cs="Times New Roman"/>
          <w:b/>
          <w:i/>
          <w:sz w:val="20"/>
          <w:szCs w:val="20"/>
        </w:rPr>
      </w:pPr>
      <w:r w:rsidRPr="00BB710B">
        <w:rPr>
          <w:rFonts w:ascii="Times New Roman" w:hAnsi="Times New Roman" w:cs="Times New Roman"/>
          <w:b/>
          <w:i/>
          <w:sz w:val="20"/>
          <w:szCs w:val="20"/>
        </w:rPr>
        <w:t>Inform RAN4 about the understanding in RAN1.</w:t>
      </w:r>
    </w:p>
    <w:p w:rsidR="002C6324" w:rsidRPr="001220B3" w:rsidRDefault="002C6324" w:rsidP="002C6324">
      <w:pPr>
        <w:pStyle w:val="Heading1"/>
        <w:rPr>
          <w:lang w:val="en-US"/>
        </w:rPr>
      </w:pPr>
      <w:r w:rsidRPr="001220B3">
        <w:rPr>
          <w:lang w:val="en-US"/>
        </w:rPr>
        <w:t xml:space="preserve">Conclusion </w:t>
      </w:r>
    </w:p>
    <w:p w:rsidR="002C6324" w:rsidRDefault="002C6324" w:rsidP="00A4745A">
      <w:pPr>
        <w:jc w:val="both"/>
        <w:rPr>
          <w:lang w:val="en-US"/>
        </w:rPr>
      </w:pPr>
      <w:r>
        <w:rPr>
          <w:lang w:val="en-US"/>
        </w:rPr>
        <w:t>In this contribution, we discuss the UE transmitter</w:t>
      </w:r>
      <w:r w:rsidR="008505AC">
        <w:rPr>
          <w:lang w:val="en-US"/>
        </w:rPr>
        <w:t xml:space="preserve"> and receiver</w:t>
      </w:r>
      <w:r>
        <w:rPr>
          <w:lang w:val="en-US"/>
        </w:rPr>
        <w:t xml:space="preserve"> behavior</w:t>
      </w:r>
      <w:r w:rsidR="008505AC">
        <w:rPr>
          <w:lang w:val="en-US"/>
        </w:rPr>
        <w:t>s</w:t>
      </w:r>
      <w:r>
        <w:rPr>
          <w:lang w:val="en-US"/>
        </w:rPr>
        <w:t xml:space="preserve"> </w:t>
      </w:r>
      <w:r w:rsidR="008505AC">
        <w:rPr>
          <w:lang w:val="en-US"/>
        </w:rPr>
        <w:t>for complying with ETSI regulations</w:t>
      </w:r>
      <w:r>
        <w:rPr>
          <w:lang w:val="en-US"/>
        </w:rPr>
        <w:t xml:space="preserve">. </w:t>
      </w:r>
    </w:p>
    <w:p w:rsidR="00BB710B" w:rsidRPr="001220B3" w:rsidRDefault="00BB710B" w:rsidP="00A4745A">
      <w:pPr>
        <w:pStyle w:val="BodyText"/>
        <w:spacing w:after="240"/>
        <w:jc w:val="both"/>
        <w:rPr>
          <w:b/>
          <w:i/>
          <w:sz w:val="20"/>
          <w:szCs w:val="20"/>
        </w:rPr>
      </w:pPr>
      <w:r w:rsidRPr="001220B3">
        <w:rPr>
          <w:b/>
          <w:i/>
          <w:sz w:val="20"/>
          <w:szCs w:val="20"/>
        </w:rPr>
        <w:t>Observations:</w:t>
      </w:r>
    </w:p>
    <w:p w:rsidR="00BB710B" w:rsidRDefault="00BB710B" w:rsidP="00A4745A">
      <w:pPr>
        <w:pStyle w:val="BodyText"/>
        <w:numPr>
          <w:ilvl w:val="0"/>
          <w:numId w:val="8"/>
        </w:numPr>
        <w:spacing w:after="240"/>
        <w:jc w:val="both"/>
        <w:rPr>
          <w:b/>
          <w:i/>
          <w:sz w:val="20"/>
          <w:szCs w:val="20"/>
        </w:rPr>
      </w:pPr>
      <w:r>
        <w:rPr>
          <w:b/>
          <w:i/>
          <w:sz w:val="20"/>
          <w:szCs w:val="20"/>
        </w:rPr>
        <w:t>According to draft</w:t>
      </w:r>
      <w:r w:rsidRPr="001220B3">
        <w:rPr>
          <w:b/>
          <w:i/>
          <w:sz w:val="20"/>
          <w:szCs w:val="20"/>
        </w:rPr>
        <w:t xml:space="preserve"> ETSI EN 302 571</w:t>
      </w:r>
      <w:r>
        <w:rPr>
          <w:b/>
          <w:i/>
          <w:sz w:val="20"/>
          <w:szCs w:val="20"/>
        </w:rPr>
        <w:t xml:space="preserve"> V2.0.0 (2016-03)</w:t>
      </w:r>
      <w:r w:rsidRPr="001220B3">
        <w:rPr>
          <w:b/>
          <w:i/>
          <w:sz w:val="20"/>
          <w:szCs w:val="20"/>
        </w:rPr>
        <w:t xml:space="preserve"> </w:t>
      </w:r>
      <w:r w:rsidRPr="00E20B1B">
        <w:rPr>
          <w:b/>
          <w:i/>
          <w:sz w:val="20"/>
          <w:szCs w:val="20"/>
          <w:lang w:val="en-GB"/>
        </w:rPr>
        <w:fldChar w:fldCharType="begin"/>
      </w:r>
      <w:r w:rsidRPr="00E20B1B">
        <w:rPr>
          <w:b/>
          <w:i/>
          <w:sz w:val="20"/>
          <w:szCs w:val="20"/>
          <w:lang w:val="en-GB"/>
        </w:rPr>
        <w:instrText xml:space="preserve"> REF _Ref458373156 \r \h </w:instrText>
      </w:r>
      <w:r w:rsidR="00A4745A">
        <w:rPr>
          <w:b/>
          <w:i/>
          <w:sz w:val="20"/>
          <w:szCs w:val="20"/>
          <w:lang w:val="en-GB"/>
        </w:rPr>
        <w:instrText xml:space="preserve"> \* MERGEFORMAT </w:instrText>
      </w:r>
      <w:r w:rsidRPr="00E20B1B">
        <w:rPr>
          <w:b/>
          <w:i/>
          <w:sz w:val="20"/>
          <w:szCs w:val="20"/>
          <w:lang w:val="en-GB"/>
        </w:rPr>
      </w:r>
      <w:r w:rsidRPr="00E20B1B">
        <w:rPr>
          <w:b/>
          <w:i/>
          <w:sz w:val="20"/>
          <w:szCs w:val="20"/>
          <w:lang w:val="en-GB"/>
        </w:rPr>
        <w:fldChar w:fldCharType="separate"/>
      </w:r>
      <w:r w:rsidR="003024E7">
        <w:rPr>
          <w:b/>
          <w:i/>
          <w:sz w:val="20"/>
          <w:szCs w:val="20"/>
          <w:lang w:val="en-GB"/>
        </w:rPr>
        <w:t>[1]</w:t>
      </w:r>
      <w:r w:rsidRPr="00E20B1B">
        <w:rPr>
          <w:b/>
          <w:i/>
          <w:sz w:val="20"/>
          <w:szCs w:val="20"/>
        </w:rPr>
        <w:fldChar w:fldCharType="end"/>
      </w:r>
      <w:r w:rsidRPr="00E20B1B">
        <w:rPr>
          <w:b/>
          <w:i/>
          <w:sz w:val="20"/>
          <w:szCs w:val="20"/>
          <w:lang w:val="en-GB"/>
        </w:rPr>
        <w:t xml:space="preserve"> </w:t>
      </w:r>
      <w:r w:rsidRPr="00E20B1B">
        <w:rPr>
          <w:b/>
          <w:i/>
          <w:sz w:val="20"/>
          <w:szCs w:val="20"/>
          <w:lang w:val="en-GB"/>
        </w:rPr>
        <w:fldChar w:fldCharType="begin"/>
      </w:r>
      <w:r w:rsidRPr="00E20B1B">
        <w:rPr>
          <w:b/>
          <w:i/>
          <w:sz w:val="20"/>
          <w:szCs w:val="20"/>
          <w:lang w:val="en-GB"/>
        </w:rPr>
        <w:instrText xml:space="preserve"> REF _Ref458373460 \r \h </w:instrText>
      </w:r>
      <w:r w:rsidR="00A4745A">
        <w:rPr>
          <w:b/>
          <w:i/>
          <w:sz w:val="20"/>
          <w:szCs w:val="20"/>
          <w:lang w:val="en-GB"/>
        </w:rPr>
        <w:instrText xml:space="preserve"> \* MERGEFORMAT </w:instrText>
      </w:r>
      <w:r w:rsidRPr="00E20B1B">
        <w:rPr>
          <w:b/>
          <w:i/>
          <w:sz w:val="20"/>
          <w:szCs w:val="20"/>
          <w:lang w:val="en-GB"/>
        </w:rPr>
      </w:r>
      <w:r w:rsidRPr="00E20B1B">
        <w:rPr>
          <w:b/>
          <w:i/>
          <w:sz w:val="20"/>
          <w:szCs w:val="20"/>
          <w:lang w:val="en-GB"/>
        </w:rPr>
        <w:fldChar w:fldCharType="separate"/>
      </w:r>
      <w:r w:rsidR="003024E7">
        <w:rPr>
          <w:b/>
          <w:i/>
          <w:sz w:val="20"/>
          <w:szCs w:val="20"/>
          <w:lang w:val="en-GB"/>
        </w:rPr>
        <w:t>[2]</w:t>
      </w:r>
      <w:r w:rsidRPr="00E20B1B">
        <w:rPr>
          <w:b/>
          <w:i/>
          <w:sz w:val="20"/>
          <w:szCs w:val="20"/>
        </w:rPr>
        <w:fldChar w:fldCharType="end"/>
      </w:r>
      <w:r>
        <w:rPr>
          <w:b/>
          <w:i/>
          <w:sz w:val="20"/>
          <w:szCs w:val="20"/>
        </w:rPr>
        <w:t>, the maximum</w:t>
      </w:r>
      <w:r w:rsidRPr="001220B3">
        <w:rPr>
          <w:b/>
          <w:i/>
          <w:sz w:val="20"/>
          <w:szCs w:val="20"/>
        </w:rPr>
        <w:t xml:space="preserve"> </w:t>
      </w:r>
      <w:r w:rsidRPr="008444F1">
        <w:rPr>
          <w:b/>
          <w:i/>
          <w:sz w:val="20"/>
          <w:szCs w:val="20"/>
        </w:rPr>
        <w:t>T</w:t>
      </w:r>
      <w:r w:rsidRPr="008444F1">
        <w:rPr>
          <w:b/>
          <w:i/>
          <w:sz w:val="20"/>
          <w:szCs w:val="20"/>
          <w:vertAlign w:val="subscript"/>
        </w:rPr>
        <w:t>off</w:t>
      </w:r>
      <w:r w:rsidRPr="001220B3">
        <w:rPr>
          <w:b/>
          <w:i/>
          <w:sz w:val="20"/>
          <w:szCs w:val="20"/>
        </w:rPr>
        <w:t xml:space="preserve"> </w:t>
      </w:r>
      <w:r>
        <w:rPr>
          <w:b/>
          <w:i/>
          <w:sz w:val="20"/>
          <w:szCs w:val="20"/>
        </w:rPr>
        <w:t>limit is</w:t>
      </w:r>
      <w:r w:rsidRPr="001220B3">
        <w:rPr>
          <w:b/>
          <w:i/>
          <w:sz w:val="20"/>
          <w:szCs w:val="20"/>
        </w:rPr>
        <w:t xml:space="preserve"> </w:t>
      </w:r>
      <w:r>
        <w:rPr>
          <w:b/>
          <w:i/>
          <w:sz w:val="20"/>
          <w:szCs w:val="20"/>
        </w:rPr>
        <w:t>4</w:t>
      </w:r>
      <w:r w:rsidRPr="001220B3">
        <w:rPr>
          <w:b/>
          <w:i/>
          <w:sz w:val="20"/>
          <w:szCs w:val="20"/>
        </w:rPr>
        <w:t>ms</w:t>
      </w:r>
      <w:r>
        <w:rPr>
          <w:b/>
          <w:i/>
          <w:sz w:val="20"/>
          <w:szCs w:val="20"/>
        </w:rPr>
        <w:t>, which may allow up to 4 LTE retx.</w:t>
      </w:r>
    </w:p>
    <w:p w:rsidR="00BB710B" w:rsidRPr="008505AC" w:rsidRDefault="00BB710B" w:rsidP="00A4745A">
      <w:pPr>
        <w:pStyle w:val="BodyText"/>
        <w:numPr>
          <w:ilvl w:val="0"/>
          <w:numId w:val="8"/>
        </w:numPr>
        <w:spacing w:after="240"/>
        <w:jc w:val="both"/>
        <w:rPr>
          <w:b/>
          <w:i/>
          <w:sz w:val="20"/>
          <w:szCs w:val="20"/>
        </w:rPr>
      </w:pPr>
      <w:r>
        <w:rPr>
          <w:b/>
          <w:i/>
          <w:sz w:val="20"/>
          <w:szCs w:val="20"/>
        </w:rPr>
        <w:t>However, due to</w:t>
      </w:r>
      <w:r w:rsidRPr="00F83D8C">
        <w:rPr>
          <w:b/>
          <w:i/>
          <w:sz w:val="20"/>
          <w:szCs w:val="20"/>
        </w:rPr>
        <w:t xml:space="preserve"> the </w:t>
      </w:r>
      <w:r>
        <w:rPr>
          <w:b/>
          <w:i/>
          <w:sz w:val="20"/>
          <w:szCs w:val="20"/>
        </w:rPr>
        <w:t>gap</w:t>
      </w:r>
      <w:r w:rsidRPr="00F83D8C">
        <w:rPr>
          <w:b/>
          <w:i/>
          <w:sz w:val="20"/>
          <w:szCs w:val="20"/>
        </w:rPr>
        <w:t xml:space="preserve"> in each subframe, i.e. the guard period (GP), transmission of multiple adjacent subframes </w:t>
      </w:r>
      <w:r>
        <w:rPr>
          <w:b/>
          <w:i/>
          <w:sz w:val="20"/>
          <w:szCs w:val="20"/>
        </w:rPr>
        <w:t xml:space="preserve">from a UE </w:t>
      </w:r>
      <w:r w:rsidRPr="00F83D8C">
        <w:rPr>
          <w:b/>
          <w:i/>
          <w:sz w:val="20"/>
          <w:szCs w:val="20"/>
        </w:rPr>
        <w:t>cannot be considered as a single transmission from the radio point of view.</w:t>
      </w:r>
    </w:p>
    <w:p w:rsidR="00BB710B" w:rsidRDefault="00BB710B" w:rsidP="00A4745A">
      <w:pPr>
        <w:pStyle w:val="BodyText"/>
        <w:spacing w:after="240"/>
        <w:jc w:val="both"/>
        <w:rPr>
          <w:b/>
          <w:i/>
          <w:sz w:val="20"/>
          <w:szCs w:val="20"/>
        </w:rPr>
      </w:pPr>
      <w:r>
        <w:rPr>
          <w:b/>
          <w:i/>
          <w:sz w:val="20"/>
          <w:szCs w:val="20"/>
        </w:rPr>
        <w:t>Proposals:</w:t>
      </w:r>
    </w:p>
    <w:p w:rsidR="00BB710B" w:rsidRPr="001E4F0C" w:rsidRDefault="00BB710B" w:rsidP="00A4745A">
      <w:pPr>
        <w:pStyle w:val="BodyText"/>
        <w:numPr>
          <w:ilvl w:val="0"/>
          <w:numId w:val="10"/>
        </w:numPr>
        <w:spacing w:after="240"/>
        <w:jc w:val="both"/>
        <w:rPr>
          <w:b/>
          <w:i/>
          <w:sz w:val="20"/>
          <w:szCs w:val="20"/>
        </w:rPr>
      </w:pPr>
      <w:r>
        <w:rPr>
          <w:b/>
          <w:i/>
          <w:sz w:val="20"/>
          <w:szCs w:val="20"/>
        </w:rPr>
        <w:lastRenderedPageBreak/>
        <w:t>Modify the LTE sidelink design in order to enable adjacent retransmissions and fulfill ETSI requirements.</w:t>
      </w:r>
    </w:p>
    <w:p w:rsidR="00BB710B" w:rsidRPr="001220B3" w:rsidRDefault="00BB710B" w:rsidP="00A4745A">
      <w:pPr>
        <w:pStyle w:val="BodyText"/>
        <w:spacing w:after="240"/>
        <w:jc w:val="both"/>
        <w:rPr>
          <w:b/>
          <w:i/>
          <w:sz w:val="20"/>
          <w:szCs w:val="20"/>
        </w:rPr>
      </w:pPr>
      <w:r w:rsidRPr="001220B3">
        <w:rPr>
          <w:b/>
          <w:i/>
          <w:sz w:val="20"/>
          <w:szCs w:val="20"/>
        </w:rPr>
        <w:t>Proposals:</w:t>
      </w:r>
    </w:p>
    <w:p w:rsidR="00BB710B" w:rsidRDefault="00BB710B" w:rsidP="00A4745A">
      <w:pPr>
        <w:pStyle w:val="BodyText"/>
        <w:numPr>
          <w:ilvl w:val="0"/>
          <w:numId w:val="8"/>
        </w:numPr>
        <w:spacing w:after="240"/>
        <w:jc w:val="both"/>
        <w:rPr>
          <w:b/>
          <w:i/>
          <w:sz w:val="20"/>
          <w:szCs w:val="20"/>
        </w:rPr>
      </w:pPr>
      <w:r w:rsidRPr="001220B3">
        <w:rPr>
          <w:b/>
          <w:i/>
          <w:sz w:val="20"/>
          <w:szCs w:val="20"/>
        </w:rPr>
        <w:t xml:space="preserve">In case </w:t>
      </w:r>
      <w:r>
        <w:rPr>
          <w:b/>
          <w:i/>
          <w:sz w:val="20"/>
          <w:szCs w:val="20"/>
        </w:rPr>
        <w:t>a UE transmits multiple adjacent sidelink subframes the gap is only inserted at the end of the contiguous transmission.</w:t>
      </w:r>
      <w:r w:rsidRPr="001220B3">
        <w:rPr>
          <w:b/>
          <w:i/>
          <w:sz w:val="20"/>
          <w:szCs w:val="20"/>
        </w:rPr>
        <w:t xml:space="preserve"> </w:t>
      </w:r>
    </w:p>
    <w:p w:rsidR="003024E7" w:rsidRDefault="003024E7" w:rsidP="00A4745A">
      <w:pPr>
        <w:pStyle w:val="BodyText"/>
        <w:numPr>
          <w:ilvl w:val="1"/>
          <w:numId w:val="8"/>
        </w:numPr>
        <w:spacing w:after="240"/>
        <w:jc w:val="both"/>
        <w:rPr>
          <w:b/>
          <w:i/>
          <w:sz w:val="20"/>
          <w:szCs w:val="20"/>
        </w:rPr>
      </w:pPr>
      <w:r>
        <w:rPr>
          <w:b/>
          <w:i/>
          <w:sz w:val="20"/>
          <w:szCs w:val="20"/>
        </w:rPr>
        <w:t>Data transmission is not truncated in the last symbols that do not carry a gap.</w:t>
      </w:r>
    </w:p>
    <w:p w:rsidR="003024E7" w:rsidRDefault="003024E7" w:rsidP="00A4745A">
      <w:pPr>
        <w:pStyle w:val="BodyText"/>
        <w:numPr>
          <w:ilvl w:val="0"/>
          <w:numId w:val="8"/>
        </w:numPr>
        <w:spacing w:after="240"/>
        <w:jc w:val="both"/>
        <w:rPr>
          <w:b/>
          <w:i/>
          <w:sz w:val="20"/>
          <w:szCs w:val="20"/>
        </w:rPr>
      </w:pPr>
      <w:r>
        <w:rPr>
          <w:b/>
          <w:i/>
          <w:sz w:val="20"/>
          <w:szCs w:val="20"/>
        </w:rPr>
        <w:t>FFS whether the gap should be used if adjacent retransmissions of a same subframe span different PRBs</w:t>
      </w:r>
    </w:p>
    <w:p w:rsidR="00BB710B" w:rsidRPr="00BB710B" w:rsidRDefault="00BB710B" w:rsidP="00A4745A">
      <w:pPr>
        <w:tabs>
          <w:tab w:val="center" w:pos="5131"/>
        </w:tabs>
        <w:jc w:val="both"/>
        <w:rPr>
          <w:b/>
          <w:i/>
          <w:lang w:val="en-US"/>
        </w:rPr>
      </w:pPr>
      <w:r w:rsidRPr="00BB710B">
        <w:rPr>
          <w:b/>
          <w:i/>
          <w:lang w:val="en-US"/>
        </w:rPr>
        <w:t>Proposals:</w:t>
      </w:r>
    </w:p>
    <w:p w:rsidR="00BB710B" w:rsidRPr="00BB710B" w:rsidRDefault="00BB710B" w:rsidP="00A4745A">
      <w:pPr>
        <w:pStyle w:val="ListParagraph"/>
        <w:numPr>
          <w:ilvl w:val="0"/>
          <w:numId w:val="11"/>
        </w:numPr>
        <w:tabs>
          <w:tab w:val="center" w:pos="5131"/>
        </w:tabs>
        <w:jc w:val="both"/>
        <w:rPr>
          <w:rFonts w:ascii="Times New Roman" w:hAnsi="Times New Roman" w:cs="Times New Roman"/>
          <w:b/>
          <w:i/>
          <w:sz w:val="20"/>
          <w:szCs w:val="20"/>
        </w:rPr>
      </w:pPr>
      <w:r w:rsidRPr="00BB710B">
        <w:rPr>
          <w:rFonts w:ascii="Times New Roman" w:hAnsi="Times New Roman" w:cs="Times New Roman"/>
          <w:b/>
          <w:i/>
          <w:sz w:val="20"/>
          <w:szCs w:val="20"/>
        </w:rPr>
        <w:t>If a TB is retransmitted over the same bandwidth and adjacent to a previous (re)transmission of the same TB, the receiving UE is expected to use the first OFDM symbol in the retransmission for data detection</w:t>
      </w:r>
    </w:p>
    <w:p w:rsidR="00BB710B" w:rsidRPr="00BB710B" w:rsidRDefault="00BB710B" w:rsidP="00A4745A">
      <w:pPr>
        <w:pStyle w:val="ListParagraph"/>
        <w:numPr>
          <w:ilvl w:val="1"/>
          <w:numId w:val="11"/>
        </w:numPr>
        <w:tabs>
          <w:tab w:val="center" w:pos="5131"/>
        </w:tabs>
        <w:jc w:val="both"/>
        <w:rPr>
          <w:rFonts w:ascii="Times New Roman" w:hAnsi="Times New Roman" w:cs="Times New Roman"/>
          <w:b/>
          <w:i/>
          <w:sz w:val="20"/>
          <w:szCs w:val="20"/>
        </w:rPr>
      </w:pPr>
      <w:r w:rsidRPr="00BB710B">
        <w:rPr>
          <w:rFonts w:ascii="Times New Roman" w:hAnsi="Times New Roman" w:cs="Times New Roman"/>
          <w:b/>
          <w:i/>
          <w:sz w:val="20"/>
          <w:szCs w:val="20"/>
        </w:rPr>
        <w:t>In all other cases the UE may use the first OFDM symbol for AGC training.</w:t>
      </w:r>
    </w:p>
    <w:p w:rsidR="00BB710B" w:rsidRPr="00BB710B" w:rsidRDefault="00BB710B" w:rsidP="008A063E">
      <w:pPr>
        <w:pStyle w:val="ListParagraph"/>
        <w:numPr>
          <w:ilvl w:val="0"/>
          <w:numId w:val="11"/>
        </w:numPr>
        <w:tabs>
          <w:tab w:val="center" w:pos="5131"/>
        </w:tabs>
        <w:rPr>
          <w:rFonts w:ascii="Times New Roman" w:hAnsi="Times New Roman" w:cs="Times New Roman"/>
          <w:b/>
          <w:i/>
          <w:sz w:val="20"/>
          <w:szCs w:val="20"/>
        </w:rPr>
      </w:pPr>
      <w:r w:rsidRPr="00BB710B">
        <w:rPr>
          <w:rFonts w:ascii="Times New Roman" w:hAnsi="Times New Roman" w:cs="Times New Roman"/>
          <w:b/>
          <w:i/>
          <w:sz w:val="20"/>
          <w:szCs w:val="20"/>
        </w:rPr>
        <w:t>Inform RAN4 about the understanding in RAN1.</w:t>
      </w:r>
    </w:p>
    <w:p w:rsidR="008505AC" w:rsidRDefault="008505AC" w:rsidP="002C6324">
      <w:pPr>
        <w:rPr>
          <w:lang w:val="en-US"/>
        </w:rPr>
      </w:pPr>
    </w:p>
    <w:p w:rsidR="002C6324" w:rsidRPr="001220B3" w:rsidRDefault="002C6324" w:rsidP="002C6324">
      <w:pPr>
        <w:pStyle w:val="Heading1"/>
        <w:rPr>
          <w:lang w:val="en-US"/>
        </w:rPr>
      </w:pPr>
      <w:r w:rsidRPr="001220B3">
        <w:rPr>
          <w:lang w:val="en-US"/>
        </w:rPr>
        <w:t>Reference</w:t>
      </w:r>
    </w:p>
    <w:p w:rsidR="002C6324" w:rsidRPr="00A4745A" w:rsidRDefault="002C6324" w:rsidP="008A063E">
      <w:pPr>
        <w:pStyle w:val="ListParagraph"/>
        <w:numPr>
          <w:ilvl w:val="0"/>
          <w:numId w:val="7"/>
        </w:numPr>
        <w:ind w:left="709" w:hanging="425"/>
        <w:rPr>
          <w:rFonts w:ascii="Times New Roman" w:hAnsi="Times New Roman" w:cs="Times New Roman"/>
          <w:color w:val="312E25"/>
          <w:sz w:val="20"/>
          <w:szCs w:val="20"/>
          <w:lang w:eastAsia="sv-SE"/>
        </w:rPr>
      </w:pPr>
      <w:bookmarkStart w:id="5" w:name="_Ref458373156"/>
      <w:r w:rsidRPr="002E7D89">
        <w:rPr>
          <w:rFonts w:ascii="Times New Roman" w:hAnsi="Times New Roman" w:cs="Times New Roman"/>
          <w:color w:val="312E25"/>
          <w:sz w:val="20"/>
          <w:szCs w:val="20"/>
          <w:lang w:eastAsia="sv-SE"/>
        </w:rPr>
        <w:t xml:space="preserve">Draft ETSI EN 302 571 V2.0.0 (2016-03), Radiocommunications equipment operating in the 5 855 MHz to 5 925 MHz frequency band; </w:t>
      </w:r>
      <w:r w:rsidRPr="00A4745A">
        <w:rPr>
          <w:rFonts w:ascii="Times New Roman" w:hAnsi="Times New Roman" w:cs="Times New Roman"/>
          <w:color w:val="312E25"/>
          <w:sz w:val="20"/>
          <w:szCs w:val="20"/>
          <w:lang w:eastAsia="sv-SE"/>
        </w:rPr>
        <w:t>Harmonised Standard covering the essential requirements of article 3.2 of Directive 2014/53/EU</w:t>
      </w:r>
      <w:bookmarkEnd w:id="5"/>
      <w:r w:rsidRPr="00A4745A">
        <w:rPr>
          <w:rFonts w:ascii="Times New Roman" w:hAnsi="Times New Roman" w:cs="Times New Roman"/>
          <w:color w:val="312E25"/>
          <w:sz w:val="20"/>
          <w:szCs w:val="20"/>
          <w:lang w:eastAsia="sv-SE"/>
        </w:rPr>
        <w:t xml:space="preserve"> </w:t>
      </w:r>
    </w:p>
    <w:p w:rsidR="003024E7" w:rsidRPr="00A4745A" w:rsidRDefault="002C6324" w:rsidP="003024E7">
      <w:pPr>
        <w:pStyle w:val="ListParagraph"/>
        <w:numPr>
          <w:ilvl w:val="0"/>
          <w:numId w:val="7"/>
        </w:numPr>
        <w:ind w:left="709" w:hanging="425"/>
        <w:rPr>
          <w:rFonts w:ascii="Times New Roman" w:hAnsi="Times New Roman" w:cs="Times New Roman"/>
          <w:color w:val="312E25"/>
          <w:sz w:val="20"/>
          <w:szCs w:val="20"/>
          <w:lang w:eastAsia="sv-SE"/>
        </w:rPr>
      </w:pPr>
      <w:bookmarkStart w:id="6" w:name="_Ref458373460"/>
      <w:r w:rsidRPr="00A4745A">
        <w:rPr>
          <w:rFonts w:ascii="Times New Roman" w:hAnsi="Times New Roman" w:cs="Times New Roman"/>
          <w:color w:val="312E25"/>
          <w:sz w:val="20"/>
          <w:szCs w:val="20"/>
          <w:lang w:eastAsia="sv-SE"/>
        </w:rPr>
        <w:t xml:space="preserve">Revision proposal of Clause 4.2.10 of Draft ETSI EN 302 571 V2.0.0 (2016-03), URL: </w:t>
      </w:r>
      <w:hyperlink r:id="rId9" w:history="1">
        <w:r w:rsidRPr="00A4745A">
          <w:rPr>
            <w:rStyle w:val="Hyperlink"/>
            <w:rFonts w:ascii="Times New Roman" w:hAnsi="Times New Roman" w:cs="Times New Roman"/>
            <w:sz w:val="20"/>
            <w:szCs w:val="20"/>
            <w:lang w:eastAsia="sv-SE"/>
          </w:rPr>
          <w:t>https://docbox.etsi.org/ERM/ERMTG37/05-CONTRIBUTIONS/2016//ERMTG37(16)000039_Revised_Clause_4_2_10_with_track_changes.docx</w:t>
        </w:r>
      </w:hyperlink>
      <w:r w:rsidRPr="00A4745A">
        <w:rPr>
          <w:rFonts w:ascii="Times New Roman" w:hAnsi="Times New Roman" w:cs="Times New Roman"/>
          <w:color w:val="312E25"/>
          <w:sz w:val="20"/>
          <w:szCs w:val="20"/>
          <w:lang w:eastAsia="sv-SE"/>
        </w:rPr>
        <w:t xml:space="preserve"> (last accessed on 07 Aug. 2016)</w:t>
      </w:r>
      <w:bookmarkEnd w:id="6"/>
    </w:p>
    <w:p w:rsidR="003024E7" w:rsidRPr="008F12F7" w:rsidRDefault="00277E0B" w:rsidP="008F12F7">
      <w:pPr>
        <w:pStyle w:val="ListParagraph"/>
        <w:numPr>
          <w:ilvl w:val="0"/>
          <w:numId w:val="7"/>
        </w:numPr>
        <w:ind w:left="709" w:hanging="425"/>
        <w:rPr>
          <w:rFonts w:ascii="Times New Roman" w:hAnsi="Times New Roman" w:cs="Times New Roman"/>
          <w:color w:val="312E25"/>
          <w:sz w:val="20"/>
          <w:szCs w:val="20"/>
          <w:lang w:eastAsia="sv-SE"/>
        </w:rPr>
      </w:pPr>
      <w:r w:rsidRPr="00A4745A">
        <w:rPr>
          <w:rFonts w:ascii="Times New Roman" w:hAnsi="Times New Roman" w:cs="Times New Roman"/>
          <w:color w:val="312E25"/>
          <w:sz w:val="20"/>
          <w:szCs w:val="20"/>
          <w:lang w:eastAsia="sv-SE"/>
        </w:rPr>
        <w:t>R1-1609712</w:t>
      </w:r>
      <w:r w:rsidR="003024E7" w:rsidRPr="008F12F7">
        <w:rPr>
          <w:rFonts w:ascii="Times New Roman" w:hAnsi="Times New Roman" w:cs="Times New Roman"/>
          <w:color w:val="312E25"/>
          <w:sz w:val="20"/>
          <w:szCs w:val="20"/>
          <w:lang w:eastAsia="sv-SE"/>
        </w:rPr>
        <w:tab/>
        <w:t>Congestion Control Framework for V2V</w:t>
      </w:r>
      <w:r w:rsidR="003024E7" w:rsidRPr="008F12F7">
        <w:rPr>
          <w:rFonts w:ascii="Times New Roman" w:hAnsi="Times New Roman" w:cs="Times New Roman"/>
          <w:color w:val="312E25"/>
          <w:sz w:val="20"/>
          <w:szCs w:val="20"/>
          <w:lang w:eastAsia="sv-SE"/>
        </w:rPr>
        <w:tab/>
        <w:t>Ericsson</w:t>
      </w:r>
    </w:p>
    <w:p w:rsidR="008505AC" w:rsidRPr="008F12F7" w:rsidRDefault="00277E0B" w:rsidP="008F12F7">
      <w:pPr>
        <w:pStyle w:val="ListParagraph"/>
        <w:numPr>
          <w:ilvl w:val="0"/>
          <w:numId w:val="7"/>
        </w:numPr>
        <w:ind w:left="709" w:hanging="425"/>
        <w:rPr>
          <w:rFonts w:ascii="Times New Roman" w:hAnsi="Times New Roman" w:cs="Times New Roman"/>
          <w:color w:val="312E25"/>
          <w:sz w:val="20"/>
          <w:szCs w:val="20"/>
          <w:lang w:eastAsia="sv-SE"/>
        </w:rPr>
      </w:pPr>
      <w:r w:rsidRPr="00A4745A">
        <w:rPr>
          <w:rFonts w:ascii="Times New Roman" w:hAnsi="Times New Roman" w:cs="Times New Roman"/>
          <w:color w:val="312E25"/>
          <w:sz w:val="20"/>
          <w:szCs w:val="20"/>
          <w:lang w:eastAsia="sv-SE"/>
        </w:rPr>
        <w:t>R1-1609733</w:t>
      </w:r>
      <w:r w:rsidR="003024E7" w:rsidRPr="008F12F7">
        <w:rPr>
          <w:rFonts w:ascii="Times New Roman" w:hAnsi="Times New Roman" w:cs="Times New Roman"/>
          <w:color w:val="312E25"/>
          <w:sz w:val="20"/>
          <w:szCs w:val="20"/>
          <w:lang w:eastAsia="sv-SE"/>
        </w:rPr>
        <w:tab/>
        <w:t>SLSS/PSBCH and Transmitter Behavior under Congestion Control Restrictions</w:t>
      </w:r>
      <w:r w:rsidR="003024E7" w:rsidRPr="008F12F7">
        <w:rPr>
          <w:rFonts w:ascii="Times New Roman" w:hAnsi="Times New Roman" w:cs="Times New Roman"/>
          <w:color w:val="312E25"/>
          <w:sz w:val="20"/>
          <w:szCs w:val="20"/>
          <w:lang w:eastAsia="sv-SE"/>
        </w:rPr>
        <w:tab/>
        <w:t>Ericsson</w:t>
      </w:r>
    </w:p>
    <w:p w:rsidR="00277E0B" w:rsidRPr="008F12F7" w:rsidRDefault="00F013BD" w:rsidP="008F12F7">
      <w:pPr>
        <w:pStyle w:val="ListParagraph"/>
        <w:numPr>
          <w:ilvl w:val="0"/>
          <w:numId w:val="7"/>
        </w:numPr>
        <w:ind w:left="709" w:hanging="425"/>
        <w:rPr>
          <w:rFonts w:ascii="Times New Roman" w:hAnsi="Times New Roman" w:cs="Times New Roman"/>
          <w:color w:val="312E25"/>
          <w:sz w:val="20"/>
          <w:szCs w:val="20"/>
          <w:lang w:eastAsia="sv-SE"/>
        </w:rPr>
      </w:pPr>
      <w:bookmarkStart w:id="7" w:name="_Ref463011772"/>
      <w:r w:rsidRPr="00A4745A">
        <w:rPr>
          <w:rFonts w:ascii="Times New Roman" w:hAnsi="Times New Roman" w:cs="Times New Roman"/>
          <w:color w:val="312E25"/>
          <w:sz w:val="20"/>
          <w:szCs w:val="20"/>
          <w:lang w:eastAsia="sv-SE"/>
        </w:rPr>
        <w:t>R1-1609707 “Autonomous Resource allocation for multiple retransmissions</w:t>
      </w:r>
      <w:r w:rsidRPr="008F12F7">
        <w:rPr>
          <w:rFonts w:ascii="Times New Roman" w:hAnsi="Times New Roman" w:cs="Times New Roman"/>
          <w:color w:val="312E25"/>
          <w:sz w:val="20"/>
          <w:szCs w:val="20"/>
          <w:lang w:eastAsia="sv-SE"/>
        </w:rPr>
        <w:t>”, Ericsson</w:t>
      </w:r>
      <w:bookmarkEnd w:id="7"/>
    </w:p>
    <w:p w:rsidR="002C6324" w:rsidRPr="001220B3" w:rsidRDefault="002C6324" w:rsidP="002C6324">
      <w:pPr>
        <w:rPr>
          <w:lang w:val="en-US"/>
        </w:rPr>
      </w:pPr>
    </w:p>
    <w:p w:rsidR="002C6324" w:rsidRPr="001220B3" w:rsidRDefault="002C6324" w:rsidP="002C6324">
      <w:pPr>
        <w:pStyle w:val="Heading1"/>
        <w:rPr>
          <w:lang w:val="en-US"/>
        </w:rPr>
      </w:pPr>
      <w:r w:rsidRPr="001220B3">
        <w:rPr>
          <w:lang w:val="en-US"/>
        </w:rPr>
        <w:t>Appendix A</w:t>
      </w:r>
    </w:p>
    <w:p w:rsidR="002C6324" w:rsidRPr="001220B3" w:rsidRDefault="002C6324" w:rsidP="002C6324">
      <w:pPr>
        <w:rPr>
          <w:lang w:val="en-US"/>
        </w:rPr>
      </w:pPr>
      <w:r>
        <w:rPr>
          <w:lang w:val="en-US"/>
        </w:rPr>
        <w:t>In the clause 4.2.10 on d</w:t>
      </w:r>
      <w:r w:rsidRPr="001220B3">
        <w:rPr>
          <w:lang w:val="en-US"/>
        </w:rPr>
        <w:t xml:space="preserve">ecentralized congestion control of </w:t>
      </w:r>
      <w:r>
        <w:rPr>
          <w:lang w:val="en-US"/>
        </w:rPr>
        <w:fldChar w:fldCharType="begin"/>
      </w:r>
      <w:r>
        <w:rPr>
          <w:lang w:val="en-US"/>
        </w:rPr>
        <w:instrText xml:space="preserve"> REF _Ref458373156 \r \h </w:instrText>
      </w:r>
      <w:r>
        <w:rPr>
          <w:lang w:val="en-US"/>
        </w:rPr>
      </w:r>
      <w:r>
        <w:rPr>
          <w:lang w:val="en-US"/>
        </w:rPr>
        <w:fldChar w:fldCharType="separate"/>
      </w:r>
      <w:r w:rsidR="003024E7">
        <w:rPr>
          <w:lang w:val="en-US"/>
        </w:rPr>
        <w:t>[1]</w:t>
      </w:r>
      <w:r>
        <w:rPr>
          <w:lang w:val="en-US"/>
        </w:rPr>
        <w:fldChar w:fldCharType="end"/>
      </w:r>
      <w:r>
        <w:rPr>
          <w:lang w:val="en-US"/>
        </w:rPr>
        <w:fldChar w:fldCharType="begin"/>
      </w:r>
      <w:r>
        <w:rPr>
          <w:lang w:val="en-US"/>
        </w:rPr>
        <w:instrText xml:space="preserve"> REF _Ref458373460 \r \h </w:instrText>
      </w:r>
      <w:r>
        <w:rPr>
          <w:lang w:val="en-US"/>
        </w:rPr>
      </w:r>
      <w:r>
        <w:rPr>
          <w:lang w:val="en-US"/>
        </w:rPr>
        <w:fldChar w:fldCharType="separate"/>
      </w:r>
      <w:r w:rsidR="003024E7">
        <w:rPr>
          <w:lang w:val="en-US"/>
        </w:rPr>
        <w:t>[2]</w:t>
      </w:r>
      <w:r>
        <w:rPr>
          <w:lang w:val="en-US"/>
        </w:rPr>
        <w:fldChar w:fldCharType="end"/>
      </w:r>
      <w:r w:rsidRPr="001220B3">
        <w:rPr>
          <w:lang w:val="en-US"/>
        </w:rPr>
        <w:t xml:space="preserve"> the following limits are specified:</w:t>
      </w:r>
    </w:p>
    <w:p w:rsidR="002C6324" w:rsidRPr="00C21856" w:rsidRDefault="002C6324" w:rsidP="002C6324">
      <w:pPr>
        <w:rPr>
          <w:i/>
          <w:lang w:val="en-US"/>
        </w:rPr>
      </w:pPr>
      <w:r w:rsidRPr="00C21856">
        <w:rPr>
          <w:i/>
          <w:lang w:val="en-US"/>
        </w:rPr>
        <w:t>The equipment testing for DCC conformance shall focus on the T</w:t>
      </w:r>
      <w:r w:rsidRPr="00C21856">
        <w:rPr>
          <w:i/>
          <w:position w:val="-6"/>
          <w:sz w:val="14"/>
          <w:szCs w:val="14"/>
          <w:lang w:val="en-US"/>
        </w:rPr>
        <w:t>on</w:t>
      </w:r>
      <w:r w:rsidRPr="00C21856">
        <w:rPr>
          <w:i/>
          <w:lang w:val="en-US"/>
        </w:rPr>
        <w:t>, T</w:t>
      </w:r>
      <w:r w:rsidRPr="00C21856">
        <w:rPr>
          <w:i/>
          <w:position w:val="-6"/>
          <w:sz w:val="14"/>
          <w:szCs w:val="14"/>
          <w:lang w:val="en-US"/>
        </w:rPr>
        <w:t xml:space="preserve">off </w:t>
      </w:r>
      <w:r w:rsidRPr="00C21856">
        <w:rPr>
          <w:i/>
          <w:lang w:val="en-US"/>
        </w:rPr>
        <w:t>and the duty cycle parameters where 0 &lt; T</w:t>
      </w:r>
      <w:r w:rsidRPr="00C21856">
        <w:rPr>
          <w:i/>
          <w:vertAlign w:val="subscript"/>
          <w:lang w:val="en-US"/>
        </w:rPr>
        <w:t>on</w:t>
      </w:r>
      <w:r w:rsidRPr="00C21856">
        <w:rPr>
          <w:i/>
          <w:lang w:val="en-US"/>
        </w:rPr>
        <w:t xml:space="preserve"> ≤ T</w:t>
      </w:r>
      <w:r w:rsidRPr="00C21856">
        <w:rPr>
          <w:i/>
          <w:vertAlign w:val="subscript"/>
          <w:lang w:val="en-US"/>
        </w:rPr>
        <w:t>on_max</w:t>
      </w:r>
      <w:r w:rsidRPr="00C21856">
        <w:rPr>
          <w:i/>
          <w:lang w:val="en-US"/>
        </w:rPr>
        <w:t>, T</w:t>
      </w:r>
      <w:r w:rsidRPr="00C21856">
        <w:rPr>
          <w:i/>
          <w:vertAlign w:val="subscript"/>
          <w:lang w:val="en-US"/>
        </w:rPr>
        <w:t>off_min</w:t>
      </w:r>
      <w:r w:rsidRPr="00C21856">
        <w:rPr>
          <w:i/>
          <w:lang w:val="en-US"/>
        </w:rPr>
        <w:t xml:space="preserve"> ≤ T</w:t>
      </w:r>
      <w:r w:rsidRPr="00C21856">
        <w:rPr>
          <w:i/>
          <w:vertAlign w:val="subscript"/>
          <w:lang w:val="en-US"/>
        </w:rPr>
        <w:t>off</w:t>
      </w:r>
      <w:r w:rsidRPr="00C21856">
        <w:rPr>
          <w:i/>
          <w:lang w:val="en-US"/>
        </w:rPr>
        <w:t xml:space="preserve"> ≤ 1000 and the values in Table 11 shall not be exceeded. </w:t>
      </w:r>
    </w:p>
    <w:p w:rsidR="002C6324" w:rsidRPr="00C21856" w:rsidRDefault="002C6324" w:rsidP="002C6324">
      <w:pPr>
        <w:pStyle w:val="TH"/>
        <w:rPr>
          <w:i/>
          <w:lang w:val="en-US"/>
        </w:rPr>
      </w:pPr>
      <w:r w:rsidRPr="00C21856">
        <w:rPr>
          <w:i/>
          <w:lang w:val="en-US"/>
        </w:rPr>
        <w:t>Table 11: Limits for the maximum utilization of a single channel by the equipment</w:t>
      </w:r>
    </w:p>
    <w:tbl>
      <w:tblPr>
        <w:tblStyle w:val="TableGrid"/>
        <w:tblW w:w="2168" w:type="dxa"/>
        <w:jc w:val="center"/>
        <w:tblLayout w:type="fixed"/>
        <w:tblCellMar>
          <w:left w:w="28" w:type="dxa"/>
        </w:tblCellMar>
        <w:tblLook w:val="04A0" w:firstRow="1" w:lastRow="0" w:firstColumn="1" w:lastColumn="0" w:noHBand="0" w:noVBand="1"/>
      </w:tblPr>
      <w:tblGrid>
        <w:gridCol w:w="1197"/>
        <w:gridCol w:w="971"/>
      </w:tblGrid>
      <w:tr w:rsidR="00EC323E" w:rsidRPr="00C21856" w:rsidTr="00D961C4">
        <w:trPr>
          <w:jc w:val="center"/>
        </w:trPr>
        <w:tc>
          <w:tcPr>
            <w:tcW w:w="1197" w:type="dxa"/>
            <w:vAlign w:val="center"/>
          </w:tcPr>
          <w:p w:rsidR="00EC323E" w:rsidRPr="00C21856" w:rsidRDefault="00EC323E" w:rsidP="00277E0B">
            <w:pPr>
              <w:spacing w:after="0"/>
              <w:jc w:val="center"/>
              <w:rPr>
                <w:rFonts w:ascii="Arial" w:hAnsi="Arial" w:cs="Arial"/>
                <w:b/>
                <w:i/>
                <w:sz w:val="18"/>
                <w:szCs w:val="18"/>
                <w:lang w:val="en-US"/>
              </w:rPr>
            </w:pPr>
            <w:r w:rsidRPr="00C21856">
              <w:rPr>
                <w:rFonts w:ascii="Arial" w:hAnsi="Arial" w:cs="Arial"/>
                <w:b/>
                <w:i/>
                <w:sz w:val="18"/>
                <w:szCs w:val="18"/>
                <w:lang w:val="en-US"/>
              </w:rPr>
              <w:t>Parameters</w:t>
            </w:r>
          </w:p>
        </w:tc>
        <w:tc>
          <w:tcPr>
            <w:tcW w:w="971" w:type="dxa"/>
            <w:vAlign w:val="center"/>
          </w:tcPr>
          <w:p w:rsidR="00EC323E" w:rsidRPr="00C21856" w:rsidRDefault="00EC323E" w:rsidP="00277E0B">
            <w:pPr>
              <w:spacing w:after="0"/>
              <w:jc w:val="center"/>
              <w:rPr>
                <w:rFonts w:ascii="Arial" w:hAnsi="Arial" w:cs="Arial"/>
                <w:b/>
                <w:i/>
                <w:sz w:val="18"/>
                <w:szCs w:val="18"/>
                <w:lang w:val="en-US"/>
              </w:rPr>
            </w:pPr>
            <w:r w:rsidRPr="00C21856">
              <w:rPr>
                <w:rFonts w:ascii="Arial" w:hAnsi="Arial" w:cs="Arial"/>
                <w:b/>
                <w:i/>
                <w:sz w:val="18"/>
                <w:szCs w:val="18"/>
                <w:lang w:val="en-US"/>
              </w:rPr>
              <w:t>Value</w:t>
            </w:r>
          </w:p>
        </w:tc>
      </w:tr>
      <w:tr w:rsidR="00EC323E" w:rsidRPr="00C21856" w:rsidTr="00D961C4">
        <w:trPr>
          <w:jc w:val="center"/>
        </w:trPr>
        <w:tc>
          <w:tcPr>
            <w:tcW w:w="1197" w:type="dxa"/>
            <w:vAlign w:val="center"/>
          </w:tcPr>
          <w:p w:rsidR="00EC323E" w:rsidRPr="00C21856" w:rsidRDefault="00EC323E" w:rsidP="00277E0B">
            <w:pPr>
              <w:pStyle w:val="TAC"/>
              <w:rPr>
                <w:i/>
                <w:lang w:val="en-US"/>
              </w:rPr>
            </w:pPr>
            <w:r w:rsidRPr="00C21856">
              <w:rPr>
                <w:i/>
                <w:lang w:val="en-US"/>
              </w:rPr>
              <w:t>T</w:t>
            </w:r>
            <w:r w:rsidRPr="00C21856">
              <w:rPr>
                <w:i/>
                <w:position w:val="-6"/>
                <w:sz w:val="14"/>
                <w:szCs w:val="14"/>
                <w:lang w:val="en-US"/>
              </w:rPr>
              <w:t>on_max</w:t>
            </w:r>
          </w:p>
        </w:tc>
        <w:tc>
          <w:tcPr>
            <w:tcW w:w="971" w:type="dxa"/>
            <w:vAlign w:val="center"/>
          </w:tcPr>
          <w:p w:rsidR="00EC323E" w:rsidRPr="00C21856" w:rsidRDefault="00EC323E" w:rsidP="00277E0B">
            <w:pPr>
              <w:pStyle w:val="TAC"/>
              <w:rPr>
                <w:i/>
                <w:lang w:val="en-US"/>
              </w:rPr>
            </w:pPr>
            <w:r w:rsidRPr="00C21856">
              <w:rPr>
                <w:i/>
                <w:lang w:val="en-US"/>
              </w:rPr>
              <w:t>4 ms</w:t>
            </w:r>
          </w:p>
        </w:tc>
      </w:tr>
      <w:tr w:rsidR="00EC323E" w:rsidRPr="00C21856" w:rsidTr="00D961C4">
        <w:trPr>
          <w:jc w:val="center"/>
        </w:trPr>
        <w:tc>
          <w:tcPr>
            <w:tcW w:w="1197" w:type="dxa"/>
            <w:vAlign w:val="center"/>
          </w:tcPr>
          <w:p w:rsidR="00EC323E" w:rsidRPr="00C21856" w:rsidRDefault="00EC323E" w:rsidP="00277E0B">
            <w:pPr>
              <w:pStyle w:val="TAC"/>
              <w:rPr>
                <w:i/>
                <w:lang w:val="en-US"/>
              </w:rPr>
            </w:pPr>
            <w:r w:rsidRPr="00C21856">
              <w:rPr>
                <w:i/>
                <w:lang w:val="en-US"/>
              </w:rPr>
              <w:t>T</w:t>
            </w:r>
            <w:r w:rsidRPr="00C21856">
              <w:rPr>
                <w:i/>
                <w:position w:val="-6"/>
                <w:sz w:val="14"/>
                <w:szCs w:val="14"/>
                <w:lang w:val="en-US"/>
              </w:rPr>
              <w:t>off_min</w:t>
            </w:r>
          </w:p>
        </w:tc>
        <w:tc>
          <w:tcPr>
            <w:tcW w:w="971" w:type="dxa"/>
            <w:vAlign w:val="center"/>
          </w:tcPr>
          <w:p w:rsidR="00EC323E" w:rsidRPr="00C21856" w:rsidRDefault="00EC323E" w:rsidP="00277E0B">
            <w:pPr>
              <w:pStyle w:val="TAC"/>
              <w:rPr>
                <w:i/>
                <w:lang w:val="en-US"/>
              </w:rPr>
            </w:pPr>
            <w:r w:rsidRPr="00C21856">
              <w:rPr>
                <w:i/>
                <w:lang w:val="en-US"/>
              </w:rPr>
              <w:t>25 ms</w:t>
            </w:r>
          </w:p>
        </w:tc>
      </w:tr>
      <w:tr w:rsidR="00EC323E" w:rsidRPr="00C21856" w:rsidTr="00D961C4">
        <w:trPr>
          <w:jc w:val="center"/>
        </w:trPr>
        <w:tc>
          <w:tcPr>
            <w:tcW w:w="1197" w:type="dxa"/>
            <w:vAlign w:val="center"/>
          </w:tcPr>
          <w:p w:rsidR="00EC323E" w:rsidRPr="00C21856" w:rsidRDefault="00EC323E" w:rsidP="00277E0B">
            <w:pPr>
              <w:pStyle w:val="TAC"/>
              <w:rPr>
                <w:i/>
                <w:lang w:val="en-US"/>
              </w:rPr>
            </w:pPr>
            <w:r w:rsidRPr="00C21856">
              <w:rPr>
                <w:i/>
                <w:lang w:val="en-US"/>
              </w:rPr>
              <w:t>duty cycle</w:t>
            </w:r>
          </w:p>
        </w:tc>
        <w:tc>
          <w:tcPr>
            <w:tcW w:w="971" w:type="dxa"/>
            <w:vAlign w:val="center"/>
          </w:tcPr>
          <w:p w:rsidR="00EC323E" w:rsidRPr="00C21856" w:rsidRDefault="00EC323E" w:rsidP="00277E0B">
            <w:pPr>
              <w:pStyle w:val="TAC"/>
              <w:rPr>
                <w:i/>
                <w:lang w:val="en-US"/>
              </w:rPr>
            </w:pPr>
            <w:r w:rsidRPr="00C21856">
              <w:rPr>
                <w:i/>
                <w:lang w:val="en-US"/>
              </w:rPr>
              <w:t>3 %</w:t>
            </w:r>
          </w:p>
        </w:tc>
      </w:tr>
    </w:tbl>
    <w:p w:rsidR="002C6324" w:rsidRPr="00C21856" w:rsidRDefault="002C6324" w:rsidP="002C6324">
      <w:pPr>
        <w:rPr>
          <w:i/>
          <w:lang w:val="en-US"/>
        </w:rPr>
      </w:pPr>
    </w:p>
    <w:p w:rsidR="002C6324" w:rsidRPr="00C21856" w:rsidRDefault="002C6324" w:rsidP="002C6324">
      <w:pPr>
        <w:rPr>
          <w:i/>
          <w:lang w:val="en-US"/>
        </w:rPr>
      </w:pPr>
      <w:r w:rsidRPr="00C21856">
        <w:rPr>
          <w:i/>
          <w:lang w:val="en-US"/>
        </w:rPr>
        <w:t>When the CBR is ≤ 62%, T</w:t>
      </w:r>
      <w:r w:rsidRPr="00C21856">
        <w:rPr>
          <w:i/>
          <w:vertAlign w:val="subscript"/>
          <w:lang w:val="en-US"/>
        </w:rPr>
        <w:t>off</w:t>
      </w:r>
      <w:r w:rsidRPr="00C21856">
        <w:rPr>
          <w:i/>
          <w:lang w:val="en-US"/>
        </w:rPr>
        <w:t xml:space="preserve"> is equal to T</w:t>
      </w:r>
      <w:r w:rsidRPr="00C21856">
        <w:rPr>
          <w:i/>
          <w:vertAlign w:val="subscript"/>
          <w:lang w:val="en-US"/>
        </w:rPr>
        <w:t>off_min</w:t>
      </w:r>
      <w:r w:rsidRPr="00C21856">
        <w:rPr>
          <w:i/>
          <w:lang w:val="en-US"/>
        </w:rPr>
        <w:t>. When the CBR is &gt; 62 %, T</w:t>
      </w:r>
      <w:r w:rsidRPr="00C21856">
        <w:rPr>
          <w:i/>
          <w:vertAlign w:val="subscript"/>
          <w:lang w:val="en-US"/>
        </w:rPr>
        <w:t>off</w:t>
      </w:r>
      <w:r w:rsidRPr="00C21856">
        <w:rPr>
          <w:i/>
          <w:lang w:val="en-US"/>
        </w:rPr>
        <w:t xml:space="preserve"> time shall be determined with Equation 2. </w:t>
      </w:r>
    </w:p>
    <w:p w:rsidR="002C6324" w:rsidRPr="00C21856" w:rsidRDefault="00804983" w:rsidP="002C6324">
      <w:pPr>
        <w:ind w:left="2608"/>
        <w:rPr>
          <w:i/>
          <w:lang w:val="en-US"/>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4000×</m:t>
            </m:r>
            <m:f>
              <m:fPr>
                <m:ctrlPr>
                  <w:rPr>
                    <w:rFonts w:ascii="Cambria Math" w:hAnsi="Cambria Math"/>
                    <w:i/>
                    <w:lang w:val="en-US"/>
                  </w:rPr>
                </m:ctrlPr>
              </m:fPr>
              <m:num>
                <m:r>
                  <w:rPr>
                    <w:rFonts w:ascii="Cambria Math" w:hAnsi="Cambria Math"/>
                    <w:lang w:val="en-US"/>
                  </w:rPr>
                  <m:t>CBR-0.62</m:t>
                </m:r>
              </m:num>
              <m:den>
                <m:r>
                  <w:rPr>
                    <w:rFonts w:ascii="Cambria Math" w:hAnsi="Cambria Math"/>
                    <w:lang w:val="en-US"/>
                  </w:rPr>
                  <m:t>CBR</m:t>
                </m:r>
              </m:den>
            </m:f>
            <m:r>
              <w:rPr>
                <w:rFonts w:ascii="Cambria Math" w:hAnsi="Cambria Math"/>
                <w:lang w:val="en-US"/>
              </w:rPr>
              <m:t>-1</m:t>
            </m:r>
          </m:e>
        </m:d>
      </m:oMath>
      <w:r w:rsidR="002C6324" w:rsidRPr="00C21856">
        <w:rPr>
          <w:i/>
          <w:lang w:val="en-US"/>
        </w:rPr>
        <w:t>,</w:t>
      </w:r>
      <w:r w:rsidR="002C6324" w:rsidRPr="00C21856">
        <w:rPr>
          <w:i/>
          <w:lang w:val="en-US"/>
        </w:rPr>
        <w:tab/>
      </w:r>
      <w:r w:rsidR="002C6324" w:rsidRPr="00C21856">
        <w:rPr>
          <w:i/>
          <w:lang w:val="en-US"/>
        </w:rPr>
        <w:tab/>
        <w:t>(2)</w:t>
      </w:r>
    </w:p>
    <w:p w:rsidR="004206EB" w:rsidRPr="004D5559" w:rsidRDefault="002C6324" w:rsidP="002C6324">
      <w:pPr>
        <w:rPr>
          <w:lang w:val="en-US"/>
        </w:rPr>
      </w:pPr>
      <w:r w:rsidRPr="00C21856">
        <w:rPr>
          <w:i/>
          <w:lang w:val="en-US"/>
        </w:rPr>
        <w:t xml:space="preserve">  </w:t>
      </w:r>
      <w:r w:rsidRPr="00C21856">
        <w:rPr>
          <w:i/>
          <w:lang w:val="en-US"/>
        </w:rPr>
        <w:tab/>
        <w:t>NOTE: The rationale behind Equation 2 is outlined in TS 103 175 [6], Equation 1 in Clause 7.2.</w:t>
      </w:r>
    </w:p>
    <w:sectPr w:rsidR="004206EB" w:rsidRPr="004D5559"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983" w:rsidRDefault="00804983">
      <w:r>
        <w:separator/>
      </w:r>
    </w:p>
  </w:endnote>
  <w:endnote w:type="continuationSeparator" w:id="0">
    <w:p w:rsidR="00804983" w:rsidRDefault="0080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E0B" w:rsidRDefault="00277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E0B" w:rsidRDefault="00277E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E0B" w:rsidRDefault="00277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983" w:rsidRDefault="00804983">
      <w:r>
        <w:separator/>
      </w:r>
    </w:p>
  </w:footnote>
  <w:footnote w:type="continuationSeparator" w:id="0">
    <w:p w:rsidR="00804983" w:rsidRDefault="00804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E0B" w:rsidRDefault="00277E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E0B" w:rsidRDefault="00277E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E0B" w:rsidRDefault="00277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5A15DB"/>
    <w:multiLevelType w:val="hybridMultilevel"/>
    <w:tmpl w:val="F09C0FD8"/>
    <w:lvl w:ilvl="0" w:tplc="46DE238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3C03C7D"/>
    <w:multiLevelType w:val="hybridMultilevel"/>
    <w:tmpl w:val="B0D8EA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6" w15:restartNumberingAfterBreak="0">
    <w:nsid w:val="71686867"/>
    <w:multiLevelType w:val="hybridMultilevel"/>
    <w:tmpl w:val="1F2A18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AA146D2"/>
    <w:multiLevelType w:val="hybridMultilevel"/>
    <w:tmpl w:val="B394D8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5"/>
  </w:num>
  <w:num w:numId="2">
    <w:abstractNumId w:val="10"/>
  </w:num>
  <w:num w:numId="3">
    <w:abstractNumId w:val="7"/>
  </w:num>
  <w:num w:numId="4">
    <w:abstractNumId w:val="2"/>
  </w:num>
  <w:num w:numId="5">
    <w:abstractNumId w:val="3"/>
  </w:num>
  <w:num w:numId="6">
    <w:abstractNumId w:val="11"/>
  </w:num>
  <w:num w:numId="7">
    <w:abstractNumId w:val="8"/>
  </w:num>
  <w:num w:numId="8">
    <w:abstractNumId w:val="9"/>
  </w:num>
  <w:num w:numId="9">
    <w:abstractNumId w:val="1"/>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6F3"/>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AD0"/>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7F"/>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B44"/>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58"/>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AA5"/>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4BC6"/>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15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DA"/>
    <w:rsid w:val="001442E6"/>
    <w:rsid w:val="001443C7"/>
    <w:rsid w:val="00144548"/>
    <w:rsid w:val="001447DF"/>
    <w:rsid w:val="00144ECD"/>
    <w:rsid w:val="00145132"/>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94E"/>
    <w:rsid w:val="00157C7F"/>
    <w:rsid w:val="00157FA1"/>
    <w:rsid w:val="00160577"/>
    <w:rsid w:val="001605B6"/>
    <w:rsid w:val="00160638"/>
    <w:rsid w:val="00160B11"/>
    <w:rsid w:val="00160D12"/>
    <w:rsid w:val="00161D9B"/>
    <w:rsid w:val="00161F67"/>
    <w:rsid w:val="00162BA6"/>
    <w:rsid w:val="00162E11"/>
    <w:rsid w:val="0016390A"/>
    <w:rsid w:val="0016399F"/>
    <w:rsid w:val="00163A7C"/>
    <w:rsid w:val="00163BD1"/>
    <w:rsid w:val="00163DED"/>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BC2"/>
    <w:rsid w:val="00194D12"/>
    <w:rsid w:val="00194D5F"/>
    <w:rsid w:val="00194EBD"/>
    <w:rsid w:val="00194F3F"/>
    <w:rsid w:val="0019574B"/>
    <w:rsid w:val="001958B9"/>
    <w:rsid w:val="00196150"/>
    <w:rsid w:val="0019654D"/>
    <w:rsid w:val="00196606"/>
    <w:rsid w:val="00196A1E"/>
    <w:rsid w:val="00196BD4"/>
    <w:rsid w:val="0019700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05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2F20"/>
    <w:rsid w:val="001E3105"/>
    <w:rsid w:val="001E396A"/>
    <w:rsid w:val="001E3C3F"/>
    <w:rsid w:val="001E3FE4"/>
    <w:rsid w:val="001E41F3"/>
    <w:rsid w:val="001E4CB9"/>
    <w:rsid w:val="001E4CEC"/>
    <w:rsid w:val="001E4F0C"/>
    <w:rsid w:val="001E5017"/>
    <w:rsid w:val="001E5142"/>
    <w:rsid w:val="001E57DE"/>
    <w:rsid w:val="001E5869"/>
    <w:rsid w:val="001E59DB"/>
    <w:rsid w:val="001E62BF"/>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3CFA"/>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A91"/>
    <w:rsid w:val="00214F5E"/>
    <w:rsid w:val="0021506C"/>
    <w:rsid w:val="00215887"/>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51C"/>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90B"/>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77E0B"/>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6CC"/>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A6ED5"/>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324"/>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4E7"/>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5C0"/>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56A"/>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4964"/>
    <w:rsid w:val="00385C58"/>
    <w:rsid w:val="003862BE"/>
    <w:rsid w:val="0038647B"/>
    <w:rsid w:val="00386561"/>
    <w:rsid w:val="00386BEB"/>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37A"/>
    <w:rsid w:val="003A24F3"/>
    <w:rsid w:val="003A2848"/>
    <w:rsid w:val="003A306A"/>
    <w:rsid w:val="003A3222"/>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5F02"/>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7FB"/>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234"/>
    <w:rsid w:val="003B56A2"/>
    <w:rsid w:val="003B5B17"/>
    <w:rsid w:val="003B6404"/>
    <w:rsid w:val="003B6511"/>
    <w:rsid w:val="003B65DD"/>
    <w:rsid w:val="003B674F"/>
    <w:rsid w:val="003B706F"/>
    <w:rsid w:val="003B7411"/>
    <w:rsid w:val="003B78FB"/>
    <w:rsid w:val="003B7949"/>
    <w:rsid w:val="003B79E8"/>
    <w:rsid w:val="003B7A10"/>
    <w:rsid w:val="003C02C2"/>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63"/>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1DC"/>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D51"/>
    <w:rsid w:val="00424E3C"/>
    <w:rsid w:val="00424FB5"/>
    <w:rsid w:val="00425AC3"/>
    <w:rsid w:val="00426C90"/>
    <w:rsid w:val="004272ED"/>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10"/>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20CA"/>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2F0"/>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2"/>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0D2"/>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6C7"/>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8D3"/>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5397"/>
    <w:rsid w:val="005360AD"/>
    <w:rsid w:val="005360BA"/>
    <w:rsid w:val="005364F0"/>
    <w:rsid w:val="00536630"/>
    <w:rsid w:val="00536745"/>
    <w:rsid w:val="00536BD6"/>
    <w:rsid w:val="00536C75"/>
    <w:rsid w:val="00536D20"/>
    <w:rsid w:val="00537362"/>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14A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1D60"/>
    <w:rsid w:val="005821B9"/>
    <w:rsid w:val="00582AB6"/>
    <w:rsid w:val="0058354A"/>
    <w:rsid w:val="0058368D"/>
    <w:rsid w:val="005837AD"/>
    <w:rsid w:val="00583BE9"/>
    <w:rsid w:val="00583C20"/>
    <w:rsid w:val="00583CAF"/>
    <w:rsid w:val="00584045"/>
    <w:rsid w:val="0058419E"/>
    <w:rsid w:val="0058474A"/>
    <w:rsid w:val="00584770"/>
    <w:rsid w:val="00584A98"/>
    <w:rsid w:val="0058527B"/>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A7D4E"/>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3D"/>
    <w:rsid w:val="005C538F"/>
    <w:rsid w:val="005C6288"/>
    <w:rsid w:val="005C676D"/>
    <w:rsid w:val="005C6B1D"/>
    <w:rsid w:val="005C6F07"/>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086D"/>
    <w:rsid w:val="00600C6E"/>
    <w:rsid w:val="00600D3F"/>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40F"/>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BFD"/>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73B"/>
    <w:rsid w:val="006518A4"/>
    <w:rsid w:val="00651E22"/>
    <w:rsid w:val="00652101"/>
    <w:rsid w:val="0065211E"/>
    <w:rsid w:val="00652422"/>
    <w:rsid w:val="00652931"/>
    <w:rsid w:val="00652A15"/>
    <w:rsid w:val="00652D8E"/>
    <w:rsid w:val="00652E67"/>
    <w:rsid w:val="00653015"/>
    <w:rsid w:val="006530FD"/>
    <w:rsid w:val="00653315"/>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489"/>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B4D"/>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17"/>
    <w:rsid w:val="006D7AF3"/>
    <w:rsid w:val="006D7BE0"/>
    <w:rsid w:val="006D7F7F"/>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DB8"/>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0D80"/>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C80"/>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1501"/>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01A"/>
    <w:rsid w:val="0074732E"/>
    <w:rsid w:val="0074745B"/>
    <w:rsid w:val="00747B1A"/>
    <w:rsid w:val="00747E74"/>
    <w:rsid w:val="0075031E"/>
    <w:rsid w:val="00750866"/>
    <w:rsid w:val="007508B0"/>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C50"/>
    <w:rsid w:val="00782E08"/>
    <w:rsid w:val="00783A51"/>
    <w:rsid w:val="00783E53"/>
    <w:rsid w:val="007841AE"/>
    <w:rsid w:val="0078459C"/>
    <w:rsid w:val="007847C7"/>
    <w:rsid w:val="00784E80"/>
    <w:rsid w:val="00785302"/>
    <w:rsid w:val="00785330"/>
    <w:rsid w:val="007854FE"/>
    <w:rsid w:val="00785647"/>
    <w:rsid w:val="0078567D"/>
    <w:rsid w:val="007856EB"/>
    <w:rsid w:val="007861BA"/>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ABC"/>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1F96"/>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CDE"/>
    <w:rsid w:val="007D2D19"/>
    <w:rsid w:val="007D2DA8"/>
    <w:rsid w:val="007D3860"/>
    <w:rsid w:val="007D393B"/>
    <w:rsid w:val="007D3D08"/>
    <w:rsid w:val="007D3D7B"/>
    <w:rsid w:val="007D4A87"/>
    <w:rsid w:val="007D4CF0"/>
    <w:rsid w:val="007D4FC6"/>
    <w:rsid w:val="007D54CF"/>
    <w:rsid w:val="007D565A"/>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100"/>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4983"/>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1FB"/>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6BEE"/>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AC"/>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642"/>
    <w:rsid w:val="008659C6"/>
    <w:rsid w:val="00865A5F"/>
    <w:rsid w:val="00865B50"/>
    <w:rsid w:val="00865BD8"/>
    <w:rsid w:val="00865CA4"/>
    <w:rsid w:val="00865EA0"/>
    <w:rsid w:val="00865F2C"/>
    <w:rsid w:val="008663C5"/>
    <w:rsid w:val="00866C42"/>
    <w:rsid w:val="00866DB5"/>
    <w:rsid w:val="00866E4F"/>
    <w:rsid w:val="008672A7"/>
    <w:rsid w:val="00867712"/>
    <w:rsid w:val="00867F70"/>
    <w:rsid w:val="008704EE"/>
    <w:rsid w:val="008704F5"/>
    <w:rsid w:val="00870500"/>
    <w:rsid w:val="00870804"/>
    <w:rsid w:val="00870808"/>
    <w:rsid w:val="008712AD"/>
    <w:rsid w:val="0087131B"/>
    <w:rsid w:val="008714DD"/>
    <w:rsid w:val="0087221E"/>
    <w:rsid w:val="0087337B"/>
    <w:rsid w:val="008735F2"/>
    <w:rsid w:val="0087378D"/>
    <w:rsid w:val="00873A46"/>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C1D"/>
    <w:rsid w:val="00895FD5"/>
    <w:rsid w:val="0089600C"/>
    <w:rsid w:val="00896609"/>
    <w:rsid w:val="00896C5B"/>
    <w:rsid w:val="00896FE8"/>
    <w:rsid w:val="00897438"/>
    <w:rsid w:val="00897F87"/>
    <w:rsid w:val="00897FF3"/>
    <w:rsid w:val="008A057A"/>
    <w:rsid w:val="008A063E"/>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5C1"/>
    <w:rsid w:val="008D26C7"/>
    <w:rsid w:val="008D2729"/>
    <w:rsid w:val="008D3962"/>
    <w:rsid w:val="008D3F68"/>
    <w:rsid w:val="008D41A6"/>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2F7"/>
    <w:rsid w:val="008F1776"/>
    <w:rsid w:val="008F1C1B"/>
    <w:rsid w:val="008F1CEB"/>
    <w:rsid w:val="008F2D3A"/>
    <w:rsid w:val="008F3053"/>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5A3"/>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C05"/>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D9E"/>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460"/>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0F7"/>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39"/>
    <w:rsid w:val="009C17C0"/>
    <w:rsid w:val="009C1C73"/>
    <w:rsid w:val="009C20FF"/>
    <w:rsid w:val="009C2581"/>
    <w:rsid w:val="009C27A2"/>
    <w:rsid w:val="009C2922"/>
    <w:rsid w:val="009C2BAA"/>
    <w:rsid w:val="009C2C9C"/>
    <w:rsid w:val="009C3247"/>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49"/>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6F5A"/>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9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222"/>
    <w:rsid w:val="00A4745A"/>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A7D"/>
    <w:rsid w:val="00A66B50"/>
    <w:rsid w:val="00A66C23"/>
    <w:rsid w:val="00A6740B"/>
    <w:rsid w:val="00A67787"/>
    <w:rsid w:val="00A677A0"/>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D3E"/>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058"/>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A26"/>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21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1BB"/>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C27"/>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0CF"/>
    <w:rsid w:val="00B83188"/>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2C2"/>
    <w:rsid w:val="00B916FB"/>
    <w:rsid w:val="00B919F9"/>
    <w:rsid w:val="00B91A4A"/>
    <w:rsid w:val="00B91FB0"/>
    <w:rsid w:val="00B92062"/>
    <w:rsid w:val="00B920B4"/>
    <w:rsid w:val="00B92355"/>
    <w:rsid w:val="00B92388"/>
    <w:rsid w:val="00B923EA"/>
    <w:rsid w:val="00B92577"/>
    <w:rsid w:val="00B92E76"/>
    <w:rsid w:val="00B931BF"/>
    <w:rsid w:val="00B935A5"/>
    <w:rsid w:val="00B93899"/>
    <w:rsid w:val="00B93B5F"/>
    <w:rsid w:val="00B940B4"/>
    <w:rsid w:val="00B940C5"/>
    <w:rsid w:val="00B94220"/>
    <w:rsid w:val="00B946BE"/>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482"/>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10B"/>
    <w:rsid w:val="00BB750C"/>
    <w:rsid w:val="00BB7688"/>
    <w:rsid w:val="00BB7701"/>
    <w:rsid w:val="00BB7B78"/>
    <w:rsid w:val="00BB7E52"/>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B7"/>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2D48"/>
    <w:rsid w:val="00BF319B"/>
    <w:rsid w:val="00BF31EE"/>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712"/>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7BE"/>
    <w:rsid w:val="00C12BFC"/>
    <w:rsid w:val="00C13153"/>
    <w:rsid w:val="00C13A56"/>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9E1"/>
    <w:rsid w:val="00C36C4F"/>
    <w:rsid w:val="00C36CC5"/>
    <w:rsid w:val="00C36D46"/>
    <w:rsid w:val="00C3712E"/>
    <w:rsid w:val="00C37474"/>
    <w:rsid w:val="00C377DF"/>
    <w:rsid w:val="00C37961"/>
    <w:rsid w:val="00C37E51"/>
    <w:rsid w:val="00C41099"/>
    <w:rsid w:val="00C41C74"/>
    <w:rsid w:val="00C422C6"/>
    <w:rsid w:val="00C428C7"/>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BB2"/>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CCA"/>
    <w:rsid w:val="00C86EE8"/>
    <w:rsid w:val="00C871E6"/>
    <w:rsid w:val="00C8739F"/>
    <w:rsid w:val="00C873F9"/>
    <w:rsid w:val="00C8741D"/>
    <w:rsid w:val="00C87608"/>
    <w:rsid w:val="00C87C67"/>
    <w:rsid w:val="00C87F19"/>
    <w:rsid w:val="00C9049E"/>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5A40"/>
    <w:rsid w:val="00C96B94"/>
    <w:rsid w:val="00C96E06"/>
    <w:rsid w:val="00C97033"/>
    <w:rsid w:val="00C9719B"/>
    <w:rsid w:val="00C9761A"/>
    <w:rsid w:val="00C97877"/>
    <w:rsid w:val="00C97B39"/>
    <w:rsid w:val="00C97E74"/>
    <w:rsid w:val="00CA0703"/>
    <w:rsid w:val="00CA0E75"/>
    <w:rsid w:val="00CA0F14"/>
    <w:rsid w:val="00CA20F9"/>
    <w:rsid w:val="00CA2635"/>
    <w:rsid w:val="00CA2789"/>
    <w:rsid w:val="00CA2B1E"/>
    <w:rsid w:val="00CA2C00"/>
    <w:rsid w:val="00CA2E00"/>
    <w:rsid w:val="00CA32DA"/>
    <w:rsid w:val="00CA398E"/>
    <w:rsid w:val="00CA3A22"/>
    <w:rsid w:val="00CA3C4E"/>
    <w:rsid w:val="00CA3E43"/>
    <w:rsid w:val="00CA42E3"/>
    <w:rsid w:val="00CA4C75"/>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D49"/>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570"/>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6C91"/>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1FAB"/>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C69"/>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46"/>
    <w:rsid w:val="00D25EA3"/>
    <w:rsid w:val="00D260B1"/>
    <w:rsid w:val="00D27B27"/>
    <w:rsid w:val="00D27E28"/>
    <w:rsid w:val="00D30982"/>
    <w:rsid w:val="00D30EF6"/>
    <w:rsid w:val="00D310A9"/>
    <w:rsid w:val="00D31830"/>
    <w:rsid w:val="00D31CD5"/>
    <w:rsid w:val="00D325D3"/>
    <w:rsid w:val="00D326FC"/>
    <w:rsid w:val="00D3275C"/>
    <w:rsid w:val="00D32A01"/>
    <w:rsid w:val="00D32CFC"/>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7F8"/>
    <w:rsid w:val="00D4688F"/>
    <w:rsid w:val="00D46917"/>
    <w:rsid w:val="00D46DD4"/>
    <w:rsid w:val="00D4722A"/>
    <w:rsid w:val="00D474A0"/>
    <w:rsid w:val="00D47A78"/>
    <w:rsid w:val="00D47C6B"/>
    <w:rsid w:val="00D47DBE"/>
    <w:rsid w:val="00D47FDB"/>
    <w:rsid w:val="00D501E7"/>
    <w:rsid w:val="00D509FA"/>
    <w:rsid w:val="00D50C2C"/>
    <w:rsid w:val="00D51386"/>
    <w:rsid w:val="00D513B0"/>
    <w:rsid w:val="00D514E9"/>
    <w:rsid w:val="00D51884"/>
    <w:rsid w:val="00D51A8C"/>
    <w:rsid w:val="00D51EB5"/>
    <w:rsid w:val="00D51FF7"/>
    <w:rsid w:val="00D52071"/>
    <w:rsid w:val="00D5208A"/>
    <w:rsid w:val="00D5233D"/>
    <w:rsid w:val="00D52382"/>
    <w:rsid w:val="00D5286C"/>
    <w:rsid w:val="00D53599"/>
    <w:rsid w:val="00D535CE"/>
    <w:rsid w:val="00D53674"/>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545"/>
    <w:rsid w:val="00D66677"/>
    <w:rsid w:val="00D66A32"/>
    <w:rsid w:val="00D66ECD"/>
    <w:rsid w:val="00D67161"/>
    <w:rsid w:val="00D6719E"/>
    <w:rsid w:val="00D67558"/>
    <w:rsid w:val="00D678F5"/>
    <w:rsid w:val="00D702BC"/>
    <w:rsid w:val="00D70511"/>
    <w:rsid w:val="00D715D6"/>
    <w:rsid w:val="00D7202E"/>
    <w:rsid w:val="00D725E2"/>
    <w:rsid w:val="00D72765"/>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29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ED1"/>
    <w:rsid w:val="00D930DE"/>
    <w:rsid w:val="00D93277"/>
    <w:rsid w:val="00D9367C"/>
    <w:rsid w:val="00D936E5"/>
    <w:rsid w:val="00D938F8"/>
    <w:rsid w:val="00D93D8B"/>
    <w:rsid w:val="00D93EC2"/>
    <w:rsid w:val="00D94107"/>
    <w:rsid w:val="00D9420C"/>
    <w:rsid w:val="00D94932"/>
    <w:rsid w:val="00D94A5B"/>
    <w:rsid w:val="00D95A38"/>
    <w:rsid w:val="00D961C4"/>
    <w:rsid w:val="00D96B79"/>
    <w:rsid w:val="00D96F29"/>
    <w:rsid w:val="00D9742F"/>
    <w:rsid w:val="00DA000A"/>
    <w:rsid w:val="00DA004A"/>
    <w:rsid w:val="00DA06B0"/>
    <w:rsid w:val="00DA06BC"/>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ABD"/>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796"/>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9E2"/>
    <w:rsid w:val="00DD7D37"/>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6F5"/>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958"/>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362"/>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E38"/>
    <w:rsid w:val="00E85FFB"/>
    <w:rsid w:val="00E86AA5"/>
    <w:rsid w:val="00E86CDD"/>
    <w:rsid w:val="00E878B9"/>
    <w:rsid w:val="00E87E8A"/>
    <w:rsid w:val="00E9086A"/>
    <w:rsid w:val="00E90898"/>
    <w:rsid w:val="00E90DD2"/>
    <w:rsid w:val="00E90E9D"/>
    <w:rsid w:val="00E90EDF"/>
    <w:rsid w:val="00E90F32"/>
    <w:rsid w:val="00E91CD0"/>
    <w:rsid w:val="00E9202E"/>
    <w:rsid w:val="00E92694"/>
    <w:rsid w:val="00E92925"/>
    <w:rsid w:val="00E92A32"/>
    <w:rsid w:val="00E92DBB"/>
    <w:rsid w:val="00E93343"/>
    <w:rsid w:val="00E93503"/>
    <w:rsid w:val="00E9369F"/>
    <w:rsid w:val="00E93727"/>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2D"/>
    <w:rsid w:val="00EB7EF8"/>
    <w:rsid w:val="00EC12BA"/>
    <w:rsid w:val="00EC1969"/>
    <w:rsid w:val="00EC1FB2"/>
    <w:rsid w:val="00EC20BC"/>
    <w:rsid w:val="00EC2546"/>
    <w:rsid w:val="00EC2664"/>
    <w:rsid w:val="00EC26A0"/>
    <w:rsid w:val="00EC2831"/>
    <w:rsid w:val="00EC2FE0"/>
    <w:rsid w:val="00EC323E"/>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6D3D"/>
    <w:rsid w:val="00EE701F"/>
    <w:rsid w:val="00EE77CA"/>
    <w:rsid w:val="00EE7966"/>
    <w:rsid w:val="00EE7BE7"/>
    <w:rsid w:val="00EE7CAE"/>
    <w:rsid w:val="00EE7D29"/>
    <w:rsid w:val="00EE7FE6"/>
    <w:rsid w:val="00EF033F"/>
    <w:rsid w:val="00EF084E"/>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3BD"/>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07BF5"/>
    <w:rsid w:val="00F1010E"/>
    <w:rsid w:val="00F10456"/>
    <w:rsid w:val="00F10F9C"/>
    <w:rsid w:val="00F10F9E"/>
    <w:rsid w:val="00F1165B"/>
    <w:rsid w:val="00F11955"/>
    <w:rsid w:val="00F1244C"/>
    <w:rsid w:val="00F12C4A"/>
    <w:rsid w:val="00F12D76"/>
    <w:rsid w:val="00F12FB1"/>
    <w:rsid w:val="00F13593"/>
    <w:rsid w:val="00F13AFA"/>
    <w:rsid w:val="00F13C63"/>
    <w:rsid w:val="00F13E7D"/>
    <w:rsid w:val="00F14741"/>
    <w:rsid w:val="00F1507F"/>
    <w:rsid w:val="00F153D2"/>
    <w:rsid w:val="00F153FF"/>
    <w:rsid w:val="00F15984"/>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2CD"/>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4DAF"/>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2E8"/>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EED"/>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8B0"/>
    <w:rsid w:val="00FE599F"/>
    <w:rsid w:val="00FE61D2"/>
    <w:rsid w:val="00FE6368"/>
    <w:rsid w:val="00FE6D69"/>
    <w:rsid w:val="00FE72E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5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uiPriority w:val="99"/>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80033004">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cbox.etsi.org/ERM/ERMTG37/05-CONTRIBUTIONS/2016//ERMTG37(16)000039_Revised_Clause_4_2_10_with_track_changes.doc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2016-09-30T13:27:00Z</dcterms:modified>
</cp:coreProperties>
</file>